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6544" w14:textId="77777777" w:rsidR="008412F5" w:rsidRPr="00327310" w:rsidRDefault="008412F5" w:rsidP="008412F5">
      <w:pPr>
        <w:pStyle w:val="ListParagraph"/>
        <w:spacing w:after="0" w:line="240" w:lineRule="auto"/>
        <w:ind w:left="0" w:firstLine="284"/>
        <w:jc w:val="center"/>
        <w:rPr>
          <w:rFonts w:ascii="Garamond" w:hAnsi="Garamond"/>
          <w:sz w:val="24"/>
          <w:szCs w:val="24"/>
          <w:lang w:val="sq-AL"/>
        </w:rPr>
      </w:pPr>
      <w:r w:rsidRPr="00327310">
        <w:rPr>
          <w:rFonts w:ascii="Garamond" w:hAnsi="Garamond"/>
          <w:sz w:val="24"/>
          <w:szCs w:val="24"/>
          <w:lang w:val="sq-AL"/>
        </w:rPr>
        <w:t>SHTOJCA 1</w:t>
      </w:r>
    </w:p>
    <w:p w14:paraId="4539D40B" w14:textId="77777777" w:rsidR="008412F5" w:rsidRPr="00327310" w:rsidRDefault="008412F5" w:rsidP="008412F5">
      <w:pPr>
        <w:pStyle w:val="ListParagraph"/>
        <w:spacing w:after="0" w:line="240" w:lineRule="auto"/>
        <w:ind w:left="0" w:firstLine="284"/>
        <w:jc w:val="center"/>
        <w:rPr>
          <w:rFonts w:ascii="Garamond" w:hAnsi="Garamond"/>
          <w:bCs/>
          <w:sz w:val="24"/>
          <w:szCs w:val="24"/>
          <w:lang w:val="sq-AL"/>
        </w:rPr>
      </w:pPr>
      <w:r w:rsidRPr="00327310">
        <w:rPr>
          <w:rFonts w:ascii="Garamond" w:hAnsi="Garamond"/>
          <w:bCs/>
          <w:sz w:val="24"/>
          <w:szCs w:val="24"/>
          <w:lang w:val="sq-AL"/>
        </w:rPr>
        <w:t>STANDARDET E AKREDITIMIT SIPAS FUSHAVE DHE NËNFUSHAVE TË CILËSISË PËR OFRUESIT E AFP-së</w:t>
      </w:r>
    </w:p>
    <w:p w14:paraId="56888AE1" w14:textId="77777777" w:rsidR="008412F5" w:rsidRPr="00327310" w:rsidRDefault="008412F5" w:rsidP="008412F5">
      <w:pPr>
        <w:pStyle w:val="ListParagraph"/>
        <w:spacing w:after="0" w:line="240" w:lineRule="auto"/>
        <w:ind w:left="0" w:firstLine="284"/>
        <w:jc w:val="both"/>
        <w:rPr>
          <w:rFonts w:ascii="Garamond" w:hAnsi="Garamond"/>
          <w:bCs/>
          <w:sz w:val="24"/>
          <w:szCs w:val="24"/>
          <w:lang w:val="sq-AL"/>
        </w:rPr>
      </w:pPr>
    </w:p>
    <w:p w14:paraId="4F44AE42" w14:textId="77777777" w:rsidR="008412F5" w:rsidRPr="00327310" w:rsidRDefault="008412F5" w:rsidP="008412F5">
      <w:pPr>
        <w:pStyle w:val="ListParagraph"/>
        <w:spacing w:after="0" w:line="240" w:lineRule="auto"/>
        <w:ind w:left="0" w:firstLine="284"/>
        <w:jc w:val="both"/>
        <w:rPr>
          <w:rFonts w:ascii="Garamond" w:hAnsi="Garamond"/>
          <w:b/>
          <w:sz w:val="24"/>
          <w:szCs w:val="24"/>
          <w:lang w:val="sq-AL"/>
        </w:rPr>
      </w:pPr>
      <w:bookmarkStart w:id="0" w:name="_Toc44689549"/>
      <w:bookmarkStart w:id="1" w:name="_Toc62649091"/>
      <w:r w:rsidRPr="00327310">
        <w:rPr>
          <w:rFonts w:ascii="Garamond" w:hAnsi="Garamond"/>
          <w:b/>
          <w:sz w:val="24"/>
          <w:szCs w:val="24"/>
          <w:lang w:val="sq-AL"/>
        </w:rPr>
        <w:t>Fusha 1. Menaxhimi</w:t>
      </w:r>
      <w:bookmarkEnd w:id="0"/>
      <w:bookmarkEnd w:id="1"/>
    </w:p>
    <w:p w14:paraId="18DDEF9F" w14:textId="77777777" w:rsidR="008412F5" w:rsidRPr="00327310" w:rsidRDefault="008412F5" w:rsidP="008412F5">
      <w:pPr>
        <w:pStyle w:val="ListParagraph"/>
        <w:spacing w:after="0" w:line="240" w:lineRule="auto"/>
        <w:ind w:left="0" w:firstLine="284"/>
        <w:jc w:val="both"/>
        <w:rPr>
          <w:rFonts w:ascii="Garamond" w:hAnsi="Garamond"/>
          <w:b/>
          <w:bCs/>
          <w:sz w:val="24"/>
          <w:szCs w:val="24"/>
          <w:lang w:val="sq-AL"/>
        </w:rPr>
      </w:pPr>
      <w:bookmarkStart w:id="2" w:name="_Toc44689550"/>
      <w:r w:rsidRPr="00327310">
        <w:rPr>
          <w:rFonts w:ascii="Garamond" w:hAnsi="Garamond"/>
          <w:b/>
          <w:bCs/>
          <w:sz w:val="24"/>
          <w:szCs w:val="24"/>
          <w:lang w:val="sq-AL"/>
        </w:rPr>
        <w:t>Nënfusha 1.1 Gjithëpërfshirja</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5618"/>
        <w:gridCol w:w="1287"/>
        <w:gridCol w:w="1364"/>
        <w:gridCol w:w="1364"/>
        <w:gridCol w:w="1256"/>
        <w:gridCol w:w="1252"/>
      </w:tblGrid>
      <w:tr w:rsidR="008412F5" w:rsidRPr="00327310" w14:paraId="55F83637" w14:textId="77777777" w:rsidTr="00764C61">
        <w:trPr>
          <w:trHeight w:val="20"/>
          <w:jc w:val="center"/>
        </w:trPr>
        <w:tc>
          <w:tcPr>
            <w:tcW w:w="643" w:type="pct"/>
            <w:tcBorders>
              <w:top w:val="double" w:sz="4" w:space="0" w:color="auto"/>
              <w:left w:val="double" w:sz="4" w:space="0" w:color="auto"/>
              <w:bottom w:val="double" w:sz="4" w:space="0" w:color="auto"/>
            </w:tcBorders>
            <w:shd w:val="clear" w:color="auto" w:fill="D9D9D9" w:themeFill="background1" w:themeFillShade="D9"/>
            <w:vAlign w:val="center"/>
          </w:tcPr>
          <w:p w14:paraId="153E71D8"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TREGUESIT</w:t>
            </w:r>
          </w:p>
        </w:tc>
        <w:tc>
          <w:tcPr>
            <w:tcW w:w="2018" w:type="pct"/>
            <w:tcBorders>
              <w:top w:val="double" w:sz="4" w:space="0" w:color="auto"/>
              <w:bottom w:val="double" w:sz="4" w:space="0" w:color="auto"/>
            </w:tcBorders>
            <w:shd w:val="clear" w:color="auto" w:fill="D9D9D9" w:themeFill="background1" w:themeFillShade="D9"/>
            <w:vAlign w:val="center"/>
          </w:tcPr>
          <w:p w14:paraId="17A21F19"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Kriteret</w:t>
            </w:r>
          </w:p>
        </w:tc>
        <w:tc>
          <w:tcPr>
            <w:tcW w:w="463" w:type="pct"/>
            <w:tcBorders>
              <w:top w:val="double" w:sz="4" w:space="0" w:color="auto"/>
              <w:bottom w:val="double" w:sz="4" w:space="0" w:color="auto"/>
            </w:tcBorders>
            <w:shd w:val="clear" w:color="auto" w:fill="D9D9D9" w:themeFill="background1" w:themeFillShade="D9"/>
            <w:vAlign w:val="center"/>
          </w:tcPr>
          <w:p w14:paraId="418FBB54"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p>
          <w:p w14:paraId="421256AA"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w:t>
            </w:r>
          </w:p>
          <w:p w14:paraId="549386BB"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rinj të AFP-së</w:t>
            </w:r>
          </w:p>
        </w:tc>
        <w:tc>
          <w:tcPr>
            <w:tcW w:w="488" w:type="pct"/>
            <w:tcBorders>
              <w:top w:val="double" w:sz="4" w:space="0" w:color="auto"/>
              <w:bottom w:val="double" w:sz="4" w:space="0" w:color="auto"/>
            </w:tcBorders>
            <w:shd w:val="clear" w:color="auto" w:fill="D9D9D9" w:themeFill="background1" w:themeFillShade="D9"/>
            <w:vAlign w:val="center"/>
          </w:tcPr>
          <w:p w14:paraId="3AA49F02"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 xml:space="preserve">Ofruesit e kualifikimeve </w:t>
            </w:r>
            <w:r>
              <w:rPr>
                <w:rFonts w:ascii="Garamond" w:hAnsi="Garamond"/>
                <w:b/>
                <w:bCs/>
                <w:sz w:val="20"/>
                <w:szCs w:val="24"/>
                <w:lang w:val="sq-AL"/>
              </w:rPr>
              <w:t>2–5 të KSHK-së (arsimi profesional formal)</w:t>
            </w:r>
          </w:p>
        </w:tc>
        <w:tc>
          <w:tcPr>
            <w:tcW w:w="488" w:type="pct"/>
            <w:tcBorders>
              <w:top w:val="double" w:sz="4" w:space="0" w:color="auto"/>
              <w:bottom w:val="double" w:sz="4" w:space="0" w:color="auto"/>
            </w:tcBorders>
            <w:shd w:val="clear" w:color="auto" w:fill="D9D9D9" w:themeFill="background1" w:themeFillShade="D9"/>
            <w:vAlign w:val="center"/>
          </w:tcPr>
          <w:p w14:paraId="5874D8DB"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 kualifikimeve të të nxënit gjatë gjithë jetës (LLL)</w:t>
            </w:r>
          </w:p>
        </w:tc>
        <w:tc>
          <w:tcPr>
            <w:tcW w:w="452" w:type="pct"/>
            <w:tcBorders>
              <w:top w:val="double" w:sz="4" w:space="0" w:color="auto"/>
              <w:bottom w:val="double" w:sz="4" w:space="0" w:color="auto"/>
            </w:tcBorders>
            <w:shd w:val="clear" w:color="auto" w:fill="D9D9D9" w:themeFill="background1" w:themeFillShade="D9"/>
            <w:vAlign w:val="center"/>
          </w:tcPr>
          <w:p w14:paraId="15B02E31"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 validimit të të nxënit joformal dhe informal (VNJI)</w:t>
            </w:r>
          </w:p>
        </w:tc>
        <w:tc>
          <w:tcPr>
            <w:tcW w:w="448" w:type="pct"/>
            <w:tcBorders>
              <w:top w:val="double" w:sz="4" w:space="0" w:color="auto"/>
              <w:bottom w:val="double" w:sz="4" w:space="0" w:color="auto"/>
              <w:right w:val="double" w:sz="4" w:space="0" w:color="auto"/>
            </w:tcBorders>
            <w:shd w:val="clear" w:color="auto" w:fill="D9D9D9" w:themeFill="background1" w:themeFillShade="D9"/>
            <w:vAlign w:val="center"/>
          </w:tcPr>
          <w:p w14:paraId="22E8BF1B"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A është përmbushur kriteri (Po/Jo)</w:t>
            </w:r>
          </w:p>
        </w:tc>
      </w:tr>
      <w:tr w:rsidR="008412F5" w:rsidRPr="00327310" w14:paraId="723A02C2" w14:textId="77777777" w:rsidTr="00764C61">
        <w:trPr>
          <w:trHeight w:val="20"/>
          <w:jc w:val="center"/>
        </w:trPr>
        <w:tc>
          <w:tcPr>
            <w:tcW w:w="643" w:type="pct"/>
            <w:vMerge w:val="restart"/>
            <w:tcBorders>
              <w:top w:val="double" w:sz="4" w:space="0" w:color="auto"/>
              <w:left w:val="double" w:sz="4" w:space="0" w:color="auto"/>
            </w:tcBorders>
          </w:tcPr>
          <w:p w14:paraId="2E44B9CB"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1.1.1 Konsultimi me grupet e interesit dhe përfshirja e tyre në menaxhim dhe vendimmarrje</w:t>
            </w:r>
          </w:p>
        </w:tc>
        <w:tc>
          <w:tcPr>
            <w:tcW w:w="2018" w:type="pct"/>
            <w:tcBorders>
              <w:top w:val="double" w:sz="4" w:space="0" w:color="auto"/>
            </w:tcBorders>
          </w:tcPr>
          <w:p w14:paraId="1D98641C" w14:textId="77777777" w:rsidR="008412F5" w:rsidRPr="00327310" w:rsidRDefault="008412F5" w:rsidP="00764C61">
            <w:pPr>
              <w:pStyle w:val="ListParagraph"/>
              <w:spacing w:after="0" w:line="240" w:lineRule="auto"/>
              <w:ind w:left="0"/>
              <w:rPr>
                <w:rFonts w:ascii="Garamond" w:hAnsi="Garamond"/>
                <w:bCs/>
                <w:sz w:val="20"/>
                <w:szCs w:val="24"/>
                <w:lang w:val="sq-AL"/>
              </w:rPr>
            </w:pPr>
            <w:r w:rsidRPr="00327310">
              <w:rPr>
                <w:rFonts w:ascii="Garamond" w:hAnsi="Garamond"/>
                <w:bCs/>
                <w:sz w:val="20"/>
                <w:szCs w:val="24"/>
                <w:lang w:val="sq-AL"/>
              </w:rPr>
              <w:t>1.1.1.1 (*) Organet drejtuese të ofruesit të AFP-së përfshijnë përfaqësues të grupeve të interesit, si: përfaqësues të punëdhënësve, të mësimdhënësve, të nxënësve/kursantëve dhe/ose prindërve (në varësi të llojit të ofruesit të AFP-së).</w:t>
            </w:r>
          </w:p>
        </w:tc>
        <w:tc>
          <w:tcPr>
            <w:tcW w:w="463" w:type="pct"/>
            <w:tcBorders>
              <w:top w:val="double" w:sz="4" w:space="0" w:color="auto"/>
            </w:tcBorders>
          </w:tcPr>
          <w:p w14:paraId="7A4544F5"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88" w:type="pct"/>
            <w:tcBorders>
              <w:top w:val="double" w:sz="4" w:space="0" w:color="auto"/>
            </w:tcBorders>
          </w:tcPr>
          <w:p w14:paraId="4E737373"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88" w:type="pct"/>
            <w:tcBorders>
              <w:top w:val="double" w:sz="4" w:space="0" w:color="auto"/>
            </w:tcBorders>
          </w:tcPr>
          <w:p w14:paraId="3E20D3C6"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52" w:type="pct"/>
            <w:tcBorders>
              <w:top w:val="double" w:sz="4" w:space="0" w:color="auto"/>
            </w:tcBorders>
          </w:tcPr>
          <w:p w14:paraId="0C693A56"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48" w:type="pct"/>
            <w:tcBorders>
              <w:top w:val="double" w:sz="4" w:space="0" w:color="auto"/>
              <w:right w:val="double" w:sz="4" w:space="0" w:color="auto"/>
            </w:tcBorders>
          </w:tcPr>
          <w:p w14:paraId="3BEF9BD5" w14:textId="77777777" w:rsidR="008412F5" w:rsidRPr="00327310" w:rsidRDefault="008412F5" w:rsidP="00764C61">
            <w:pPr>
              <w:pStyle w:val="ListParagraph"/>
              <w:spacing w:after="0" w:line="240" w:lineRule="auto"/>
              <w:ind w:left="0"/>
              <w:jc w:val="both"/>
              <w:rPr>
                <w:rFonts w:ascii="Garamond" w:hAnsi="Garamond"/>
                <w:sz w:val="20"/>
                <w:szCs w:val="24"/>
                <w:lang w:val="sq-AL"/>
              </w:rPr>
            </w:pPr>
          </w:p>
        </w:tc>
      </w:tr>
      <w:tr w:rsidR="008412F5" w:rsidRPr="00327310" w14:paraId="63A054E7" w14:textId="77777777" w:rsidTr="00764C61">
        <w:trPr>
          <w:trHeight w:val="20"/>
          <w:jc w:val="center"/>
        </w:trPr>
        <w:tc>
          <w:tcPr>
            <w:tcW w:w="643" w:type="pct"/>
            <w:vMerge/>
            <w:tcBorders>
              <w:left w:val="double" w:sz="4" w:space="0" w:color="auto"/>
            </w:tcBorders>
          </w:tcPr>
          <w:p w14:paraId="3688B826"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2018" w:type="pct"/>
          </w:tcPr>
          <w:p w14:paraId="360D6465" w14:textId="77777777" w:rsidR="008412F5" w:rsidRPr="00327310" w:rsidRDefault="008412F5" w:rsidP="00764C61">
            <w:pPr>
              <w:pStyle w:val="ListParagraph"/>
              <w:spacing w:after="0" w:line="240" w:lineRule="auto"/>
              <w:ind w:left="0"/>
              <w:rPr>
                <w:rFonts w:ascii="Garamond" w:hAnsi="Garamond"/>
                <w:bCs/>
                <w:sz w:val="20"/>
                <w:szCs w:val="24"/>
                <w:lang w:val="sq-AL"/>
              </w:rPr>
            </w:pPr>
            <w:r w:rsidRPr="00327310">
              <w:rPr>
                <w:rFonts w:ascii="Garamond" w:hAnsi="Garamond"/>
                <w:bCs/>
                <w:sz w:val="20"/>
                <w:szCs w:val="24"/>
                <w:lang w:val="sq-AL"/>
              </w:rPr>
              <w:t>1.1.1.2 Veprimtaria dhe kontributi i përfaqësuesve të grupeve të interesit dokumentohet dhe publikohet.</w:t>
            </w:r>
          </w:p>
        </w:tc>
        <w:tc>
          <w:tcPr>
            <w:tcW w:w="463" w:type="pct"/>
          </w:tcPr>
          <w:p w14:paraId="3AD14152"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88" w:type="pct"/>
          </w:tcPr>
          <w:p w14:paraId="08C3BD56"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88" w:type="pct"/>
          </w:tcPr>
          <w:p w14:paraId="584337D9"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52" w:type="pct"/>
          </w:tcPr>
          <w:p w14:paraId="25C27519"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48" w:type="pct"/>
            <w:tcBorders>
              <w:right w:val="double" w:sz="4" w:space="0" w:color="auto"/>
            </w:tcBorders>
          </w:tcPr>
          <w:p w14:paraId="3012FDD3" w14:textId="77777777" w:rsidR="008412F5" w:rsidRPr="00327310" w:rsidRDefault="008412F5" w:rsidP="00764C61">
            <w:pPr>
              <w:pStyle w:val="ListParagraph"/>
              <w:spacing w:after="0" w:line="240" w:lineRule="auto"/>
              <w:ind w:left="0"/>
              <w:jc w:val="both"/>
              <w:rPr>
                <w:rFonts w:ascii="Garamond" w:hAnsi="Garamond"/>
                <w:sz w:val="20"/>
                <w:szCs w:val="24"/>
                <w:lang w:val="sq-AL"/>
              </w:rPr>
            </w:pPr>
          </w:p>
        </w:tc>
      </w:tr>
      <w:tr w:rsidR="008412F5" w:rsidRPr="00327310" w14:paraId="120196A2" w14:textId="77777777" w:rsidTr="00764C61">
        <w:trPr>
          <w:trHeight w:val="20"/>
          <w:jc w:val="center"/>
        </w:trPr>
        <w:tc>
          <w:tcPr>
            <w:tcW w:w="643" w:type="pct"/>
            <w:vMerge/>
            <w:tcBorders>
              <w:left w:val="double" w:sz="4" w:space="0" w:color="auto"/>
            </w:tcBorders>
          </w:tcPr>
          <w:p w14:paraId="18E6062D"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2018" w:type="pct"/>
          </w:tcPr>
          <w:p w14:paraId="4B87A12C"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 xml:space="preserve">1.1.1.3 </w:t>
            </w:r>
            <w:r w:rsidRPr="00327310">
              <w:rPr>
                <w:rFonts w:ascii="Garamond" w:hAnsi="Garamond"/>
                <w:bCs/>
                <w:sz w:val="20"/>
                <w:szCs w:val="24"/>
                <w:lang w:val="sq-AL"/>
              </w:rPr>
              <w:t xml:space="preserve">(*) </w:t>
            </w:r>
            <w:r w:rsidRPr="00327310">
              <w:rPr>
                <w:rFonts w:ascii="Garamond" w:hAnsi="Garamond"/>
                <w:sz w:val="20"/>
                <w:szCs w:val="24"/>
                <w:lang w:val="sq-AL"/>
              </w:rPr>
              <w:t>Grupet e interesit konsultohen të paktën një herë në vit, lidhur me funksionimin dhe nevojat për zhvillim të ofruesit të AFP-së.</w:t>
            </w:r>
          </w:p>
        </w:tc>
        <w:tc>
          <w:tcPr>
            <w:tcW w:w="463" w:type="pct"/>
          </w:tcPr>
          <w:p w14:paraId="2D3EF0FF"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88" w:type="pct"/>
          </w:tcPr>
          <w:p w14:paraId="62B04292"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88" w:type="pct"/>
          </w:tcPr>
          <w:p w14:paraId="1EF6D660"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52" w:type="pct"/>
          </w:tcPr>
          <w:p w14:paraId="7E8AD399"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48" w:type="pct"/>
            <w:tcBorders>
              <w:right w:val="double" w:sz="4" w:space="0" w:color="auto"/>
            </w:tcBorders>
          </w:tcPr>
          <w:p w14:paraId="2EE493A9" w14:textId="77777777" w:rsidR="008412F5" w:rsidRPr="00327310" w:rsidRDefault="008412F5" w:rsidP="00764C61">
            <w:pPr>
              <w:pStyle w:val="ListParagraph"/>
              <w:spacing w:after="0" w:line="240" w:lineRule="auto"/>
              <w:ind w:left="0"/>
              <w:jc w:val="both"/>
              <w:rPr>
                <w:rFonts w:ascii="Garamond" w:hAnsi="Garamond"/>
                <w:sz w:val="20"/>
                <w:szCs w:val="24"/>
                <w:lang w:val="sq-AL"/>
              </w:rPr>
            </w:pPr>
          </w:p>
        </w:tc>
      </w:tr>
      <w:tr w:rsidR="008412F5" w:rsidRPr="00327310" w14:paraId="6E9457B0" w14:textId="77777777" w:rsidTr="00764C61">
        <w:trPr>
          <w:trHeight w:val="20"/>
          <w:jc w:val="center"/>
        </w:trPr>
        <w:tc>
          <w:tcPr>
            <w:tcW w:w="643" w:type="pct"/>
            <w:vMerge w:val="restart"/>
            <w:tcBorders>
              <w:left w:val="double" w:sz="4" w:space="0" w:color="auto"/>
            </w:tcBorders>
          </w:tcPr>
          <w:p w14:paraId="61FC8F54"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1.1.2 Efikasiteti i punës në grup në kuadër të procesit të vendimmarrjes</w:t>
            </w:r>
          </w:p>
        </w:tc>
        <w:tc>
          <w:tcPr>
            <w:tcW w:w="2018" w:type="pct"/>
          </w:tcPr>
          <w:p w14:paraId="3113787C" w14:textId="77777777" w:rsidR="008412F5" w:rsidRPr="00327310" w:rsidRDefault="008412F5" w:rsidP="00764C61">
            <w:pPr>
              <w:pStyle w:val="ListParagraph"/>
              <w:spacing w:after="0" w:line="240" w:lineRule="auto"/>
              <w:ind w:left="0"/>
              <w:rPr>
                <w:rFonts w:ascii="Garamond" w:hAnsi="Garamond"/>
                <w:bCs/>
                <w:sz w:val="20"/>
                <w:szCs w:val="24"/>
                <w:lang w:val="sq-AL"/>
              </w:rPr>
            </w:pPr>
            <w:r w:rsidRPr="00327310">
              <w:rPr>
                <w:rFonts w:ascii="Garamond" w:hAnsi="Garamond"/>
                <w:bCs/>
                <w:sz w:val="20"/>
                <w:szCs w:val="24"/>
                <w:lang w:val="sq-AL"/>
              </w:rPr>
              <w:t>1.1.2.1</w:t>
            </w:r>
            <w:r w:rsidRPr="00327310">
              <w:rPr>
                <w:rFonts w:ascii="Garamond" w:hAnsi="Garamond"/>
                <w:sz w:val="20"/>
                <w:szCs w:val="24"/>
                <w:lang w:val="sq-AL"/>
              </w:rPr>
              <w:t xml:space="preserve"> </w:t>
            </w:r>
            <w:r w:rsidRPr="00327310">
              <w:rPr>
                <w:rFonts w:ascii="Garamond" w:hAnsi="Garamond"/>
                <w:bCs/>
                <w:sz w:val="20"/>
                <w:szCs w:val="24"/>
                <w:lang w:val="sq-AL"/>
              </w:rPr>
              <w:t xml:space="preserve">(*) Funksionimi dhe efikasiteti i strukturave të brendshme të menaxhimit dhe konsultimit me grupet e interesit, është i dokumentuar.  </w:t>
            </w:r>
          </w:p>
        </w:tc>
        <w:tc>
          <w:tcPr>
            <w:tcW w:w="463" w:type="pct"/>
          </w:tcPr>
          <w:p w14:paraId="53020742"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88" w:type="pct"/>
          </w:tcPr>
          <w:p w14:paraId="0FDD637E"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88" w:type="pct"/>
          </w:tcPr>
          <w:p w14:paraId="3B3E9D8F"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52" w:type="pct"/>
          </w:tcPr>
          <w:p w14:paraId="6C2F470C"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48" w:type="pct"/>
            <w:tcBorders>
              <w:right w:val="double" w:sz="4" w:space="0" w:color="auto"/>
            </w:tcBorders>
          </w:tcPr>
          <w:p w14:paraId="6CC577DD" w14:textId="77777777" w:rsidR="008412F5" w:rsidRPr="00327310" w:rsidRDefault="008412F5" w:rsidP="00764C61">
            <w:pPr>
              <w:pStyle w:val="ListParagraph"/>
              <w:spacing w:after="0" w:line="240" w:lineRule="auto"/>
              <w:ind w:left="0"/>
              <w:jc w:val="both"/>
              <w:rPr>
                <w:rFonts w:ascii="Garamond" w:hAnsi="Garamond"/>
                <w:sz w:val="20"/>
                <w:szCs w:val="24"/>
                <w:lang w:val="sq-AL"/>
              </w:rPr>
            </w:pPr>
          </w:p>
        </w:tc>
      </w:tr>
      <w:tr w:rsidR="008412F5" w:rsidRPr="00327310" w14:paraId="61BF45D6" w14:textId="77777777" w:rsidTr="00764C61">
        <w:trPr>
          <w:trHeight w:val="20"/>
          <w:jc w:val="center"/>
        </w:trPr>
        <w:tc>
          <w:tcPr>
            <w:tcW w:w="643" w:type="pct"/>
            <w:vMerge/>
            <w:tcBorders>
              <w:left w:val="double" w:sz="4" w:space="0" w:color="auto"/>
            </w:tcBorders>
          </w:tcPr>
          <w:p w14:paraId="4BF4E543" w14:textId="77777777" w:rsidR="008412F5" w:rsidRPr="00327310" w:rsidRDefault="008412F5" w:rsidP="00764C61">
            <w:pPr>
              <w:pStyle w:val="ListParagraph"/>
              <w:spacing w:after="0" w:line="240" w:lineRule="auto"/>
              <w:ind w:left="0"/>
              <w:jc w:val="both"/>
              <w:rPr>
                <w:rFonts w:ascii="Garamond" w:hAnsi="Garamond"/>
                <w:sz w:val="20"/>
                <w:szCs w:val="24"/>
                <w:lang w:val="sq-AL"/>
              </w:rPr>
            </w:pPr>
          </w:p>
        </w:tc>
        <w:tc>
          <w:tcPr>
            <w:tcW w:w="2018" w:type="pct"/>
          </w:tcPr>
          <w:p w14:paraId="0D0C0B97"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1.1.2.2</w:t>
            </w:r>
            <w:r>
              <w:rPr>
                <w:rFonts w:ascii="Garamond" w:hAnsi="Garamond"/>
                <w:sz w:val="20"/>
                <w:szCs w:val="24"/>
                <w:lang w:val="sq-AL"/>
              </w:rPr>
              <w:t xml:space="preserve"> (*)</w:t>
            </w:r>
            <w:r w:rsidRPr="00327310">
              <w:rPr>
                <w:rFonts w:ascii="Garamond" w:hAnsi="Garamond"/>
                <w:bCs/>
                <w:sz w:val="20"/>
                <w:szCs w:val="24"/>
                <w:lang w:val="sq-AL"/>
              </w:rPr>
              <w:t xml:space="preserve"> </w:t>
            </w:r>
            <w:r w:rsidRPr="00327310">
              <w:rPr>
                <w:rFonts w:ascii="Garamond" w:hAnsi="Garamond"/>
                <w:sz w:val="20"/>
                <w:szCs w:val="24"/>
                <w:lang w:val="sq-AL"/>
              </w:rPr>
              <w:t xml:space="preserve">Rezultatet e funksionimit të strukturave të brendshme të menaxhimit dhe konsultimit (vendimet, kërkesat, rekomandimet) pasqyrohen në planet institucionale të zhvillimit. </w:t>
            </w:r>
          </w:p>
        </w:tc>
        <w:tc>
          <w:tcPr>
            <w:tcW w:w="463" w:type="pct"/>
          </w:tcPr>
          <w:p w14:paraId="222567F0"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88" w:type="pct"/>
          </w:tcPr>
          <w:p w14:paraId="101131FD"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88" w:type="pct"/>
          </w:tcPr>
          <w:p w14:paraId="7EB77B8A"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52" w:type="pct"/>
          </w:tcPr>
          <w:p w14:paraId="600B6C05"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48" w:type="pct"/>
            <w:tcBorders>
              <w:right w:val="double" w:sz="4" w:space="0" w:color="auto"/>
            </w:tcBorders>
          </w:tcPr>
          <w:p w14:paraId="313BE4A4" w14:textId="77777777" w:rsidR="008412F5" w:rsidRPr="00327310" w:rsidRDefault="008412F5" w:rsidP="00764C61">
            <w:pPr>
              <w:pStyle w:val="ListParagraph"/>
              <w:spacing w:after="0" w:line="240" w:lineRule="auto"/>
              <w:ind w:left="0"/>
              <w:jc w:val="both"/>
              <w:rPr>
                <w:rFonts w:ascii="Garamond" w:hAnsi="Garamond"/>
                <w:sz w:val="20"/>
                <w:szCs w:val="24"/>
                <w:lang w:val="sq-AL"/>
              </w:rPr>
            </w:pPr>
          </w:p>
        </w:tc>
      </w:tr>
    </w:tbl>
    <w:p w14:paraId="01E70FEB" w14:textId="77777777" w:rsidR="008412F5" w:rsidRPr="00327310" w:rsidRDefault="008412F5" w:rsidP="008412F5">
      <w:pPr>
        <w:pStyle w:val="ListParagraph"/>
        <w:ind w:firstLine="284"/>
        <w:jc w:val="both"/>
        <w:rPr>
          <w:rFonts w:ascii="Garamond" w:hAnsi="Garamond"/>
          <w:b/>
          <w:bCs/>
          <w:sz w:val="24"/>
          <w:szCs w:val="24"/>
          <w:lang w:val="sq-AL"/>
        </w:rPr>
      </w:pPr>
      <w:bookmarkStart w:id="3" w:name="_Toc44689551"/>
    </w:p>
    <w:p w14:paraId="185A5070" w14:textId="77777777" w:rsidR="008412F5" w:rsidRDefault="008412F5" w:rsidP="008412F5">
      <w:pPr>
        <w:pStyle w:val="ListParagraph"/>
        <w:ind w:firstLine="284"/>
        <w:jc w:val="both"/>
        <w:rPr>
          <w:rFonts w:ascii="Garamond" w:hAnsi="Garamond"/>
          <w:b/>
          <w:bCs/>
          <w:sz w:val="24"/>
          <w:szCs w:val="24"/>
          <w:lang w:val="sq-AL"/>
        </w:rPr>
      </w:pPr>
    </w:p>
    <w:p w14:paraId="5BCC96A7" w14:textId="77777777" w:rsidR="008412F5" w:rsidRDefault="008412F5" w:rsidP="008412F5">
      <w:pPr>
        <w:pStyle w:val="ListParagraph"/>
        <w:ind w:firstLine="284"/>
        <w:jc w:val="both"/>
        <w:rPr>
          <w:rFonts w:ascii="Garamond" w:hAnsi="Garamond"/>
          <w:b/>
          <w:bCs/>
          <w:sz w:val="24"/>
          <w:szCs w:val="24"/>
          <w:lang w:val="sq-AL"/>
        </w:rPr>
      </w:pPr>
    </w:p>
    <w:p w14:paraId="52BC7DD4" w14:textId="77777777" w:rsidR="008412F5" w:rsidRDefault="008412F5" w:rsidP="008412F5">
      <w:pPr>
        <w:pStyle w:val="ListParagraph"/>
        <w:ind w:firstLine="284"/>
        <w:jc w:val="both"/>
        <w:rPr>
          <w:rFonts w:ascii="Garamond" w:hAnsi="Garamond"/>
          <w:b/>
          <w:bCs/>
          <w:sz w:val="24"/>
          <w:szCs w:val="24"/>
          <w:lang w:val="sq-AL"/>
        </w:rPr>
      </w:pPr>
    </w:p>
    <w:p w14:paraId="2433FCD8" w14:textId="77777777" w:rsidR="008412F5" w:rsidRDefault="008412F5" w:rsidP="008412F5">
      <w:pPr>
        <w:pStyle w:val="ListParagraph"/>
        <w:ind w:firstLine="284"/>
        <w:jc w:val="both"/>
        <w:rPr>
          <w:rFonts w:ascii="Garamond" w:hAnsi="Garamond"/>
          <w:b/>
          <w:bCs/>
          <w:sz w:val="24"/>
          <w:szCs w:val="24"/>
          <w:lang w:val="sq-AL"/>
        </w:rPr>
      </w:pPr>
    </w:p>
    <w:p w14:paraId="7977A13D" w14:textId="77777777" w:rsidR="008412F5" w:rsidRDefault="008412F5" w:rsidP="008412F5">
      <w:pPr>
        <w:pStyle w:val="ListParagraph"/>
        <w:ind w:firstLine="284"/>
        <w:jc w:val="both"/>
        <w:rPr>
          <w:rFonts w:ascii="Garamond" w:hAnsi="Garamond"/>
          <w:b/>
          <w:bCs/>
          <w:sz w:val="24"/>
          <w:szCs w:val="24"/>
          <w:lang w:val="sq-AL"/>
        </w:rPr>
      </w:pPr>
    </w:p>
    <w:p w14:paraId="7D7198E4" w14:textId="77777777" w:rsidR="008412F5" w:rsidRDefault="008412F5" w:rsidP="008412F5">
      <w:pPr>
        <w:pStyle w:val="ListParagraph"/>
        <w:ind w:firstLine="284"/>
        <w:jc w:val="both"/>
        <w:rPr>
          <w:rFonts w:ascii="Garamond" w:hAnsi="Garamond"/>
          <w:b/>
          <w:bCs/>
          <w:sz w:val="24"/>
          <w:szCs w:val="24"/>
          <w:lang w:val="sq-AL"/>
        </w:rPr>
      </w:pPr>
    </w:p>
    <w:p w14:paraId="0A036D39" w14:textId="77777777" w:rsidR="008412F5" w:rsidRDefault="008412F5" w:rsidP="008412F5">
      <w:pPr>
        <w:pStyle w:val="ListParagraph"/>
        <w:ind w:firstLine="284"/>
        <w:jc w:val="both"/>
        <w:rPr>
          <w:rFonts w:ascii="Garamond" w:hAnsi="Garamond"/>
          <w:b/>
          <w:bCs/>
          <w:sz w:val="24"/>
          <w:szCs w:val="24"/>
          <w:lang w:val="sq-AL"/>
        </w:rPr>
      </w:pPr>
    </w:p>
    <w:p w14:paraId="4081EA11" w14:textId="77777777" w:rsidR="008412F5" w:rsidRDefault="008412F5" w:rsidP="008412F5">
      <w:pPr>
        <w:pStyle w:val="ListParagraph"/>
        <w:ind w:firstLine="284"/>
        <w:jc w:val="both"/>
        <w:rPr>
          <w:rFonts w:ascii="Garamond" w:hAnsi="Garamond"/>
          <w:b/>
          <w:bCs/>
          <w:sz w:val="24"/>
          <w:szCs w:val="24"/>
          <w:lang w:val="sq-AL"/>
        </w:rPr>
      </w:pPr>
    </w:p>
    <w:p w14:paraId="52FD5728" w14:textId="77777777" w:rsidR="008412F5" w:rsidRPr="00327310" w:rsidRDefault="008412F5" w:rsidP="008412F5">
      <w:pPr>
        <w:pStyle w:val="ListParagraph"/>
        <w:ind w:firstLine="284"/>
        <w:jc w:val="both"/>
        <w:rPr>
          <w:rFonts w:ascii="Garamond" w:hAnsi="Garamond"/>
          <w:b/>
          <w:bCs/>
          <w:sz w:val="24"/>
          <w:szCs w:val="24"/>
          <w:lang w:val="sq-AL"/>
        </w:rPr>
      </w:pPr>
      <w:r w:rsidRPr="00327310">
        <w:rPr>
          <w:rFonts w:ascii="Garamond" w:hAnsi="Garamond"/>
          <w:b/>
          <w:bCs/>
          <w:sz w:val="24"/>
          <w:szCs w:val="24"/>
          <w:lang w:val="sq-AL"/>
        </w:rPr>
        <w:lastRenderedPageBreak/>
        <w:t>Nënfusha 1.2 Planifikimi dhe monitorimi institucional i ofruesve të AFP-</w:t>
      </w:r>
      <w:bookmarkEnd w:id="3"/>
      <w:r w:rsidRPr="00327310">
        <w:rPr>
          <w:rFonts w:ascii="Garamond" w:hAnsi="Garamond"/>
          <w:sz w:val="24"/>
          <w:szCs w:val="24"/>
          <w:lang w:val="sq-AL"/>
        </w:rPr>
        <w:t>së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5627"/>
        <w:gridCol w:w="1334"/>
        <w:gridCol w:w="1364"/>
        <w:gridCol w:w="1364"/>
        <w:gridCol w:w="1249"/>
        <w:gridCol w:w="1252"/>
      </w:tblGrid>
      <w:tr w:rsidR="008412F5" w:rsidRPr="00327310" w14:paraId="3887AFDA" w14:textId="77777777" w:rsidTr="00764C61">
        <w:trPr>
          <w:trHeight w:val="20"/>
          <w:jc w:val="center"/>
        </w:trPr>
        <w:tc>
          <w:tcPr>
            <w:tcW w:w="638" w:type="pct"/>
            <w:tcBorders>
              <w:top w:val="double" w:sz="4" w:space="0" w:color="auto"/>
              <w:left w:val="double" w:sz="4" w:space="0" w:color="auto"/>
              <w:bottom w:val="double" w:sz="4" w:space="0" w:color="auto"/>
            </w:tcBorders>
            <w:shd w:val="clear" w:color="auto" w:fill="D9D9D9" w:themeFill="background1" w:themeFillShade="D9"/>
            <w:vAlign w:val="center"/>
          </w:tcPr>
          <w:p w14:paraId="5C057039"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2034" w:type="pct"/>
            <w:tcBorders>
              <w:top w:val="double" w:sz="4" w:space="0" w:color="auto"/>
              <w:bottom w:val="double" w:sz="4" w:space="0" w:color="auto"/>
            </w:tcBorders>
            <w:shd w:val="clear" w:color="auto" w:fill="D9D9D9" w:themeFill="background1" w:themeFillShade="D9"/>
            <w:vAlign w:val="center"/>
          </w:tcPr>
          <w:p w14:paraId="57AF1A9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493" w:type="pct"/>
            <w:tcBorders>
              <w:top w:val="double" w:sz="4" w:space="0" w:color="auto"/>
              <w:bottom w:val="double" w:sz="4" w:space="0" w:color="auto"/>
            </w:tcBorders>
            <w:shd w:val="clear" w:color="auto" w:fill="D9D9D9" w:themeFill="background1" w:themeFillShade="D9"/>
            <w:vAlign w:val="center"/>
          </w:tcPr>
          <w:p w14:paraId="739CE60E"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65328BF0"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5F2F62E8"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68" w:type="pct"/>
            <w:tcBorders>
              <w:top w:val="double" w:sz="4" w:space="0" w:color="auto"/>
              <w:bottom w:val="double" w:sz="4" w:space="0" w:color="auto"/>
            </w:tcBorders>
            <w:shd w:val="clear" w:color="auto" w:fill="D9D9D9" w:themeFill="background1" w:themeFillShade="D9"/>
            <w:vAlign w:val="center"/>
          </w:tcPr>
          <w:p w14:paraId="37F24DA0"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468" w:type="pct"/>
            <w:tcBorders>
              <w:top w:val="double" w:sz="4" w:space="0" w:color="auto"/>
              <w:bottom w:val="double" w:sz="4" w:space="0" w:color="auto"/>
            </w:tcBorders>
            <w:shd w:val="clear" w:color="auto" w:fill="D9D9D9" w:themeFill="background1" w:themeFillShade="D9"/>
            <w:vAlign w:val="center"/>
          </w:tcPr>
          <w:p w14:paraId="6598C9D1"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62" w:type="pct"/>
            <w:tcBorders>
              <w:top w:val="double" w:sz="4" w:space="0" w:color="auto"/>
              <w:bottom w:val="double" w:sz="4" w:space="0" w:color="auto"/>
            </w:tcBorders>
            <w:shd w:val="clear" w:color="auto" w:fill="D9D9D9" w:themeFill="background1" w:themeFillShade="D9"/>
            <w:vAlign w:val="center"/>
          </w:tcPr>
          <w:p w14:paraId="318336D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38" w:type="pct"/>
            <w:tcBorders>
              <w:top w:val="double" w:sz="4" w:space="0" w:color="auto"/>
              <w:bottom w:val="double" w:sz="4" w:space="0" w:color="auto"/>
              <w:right w:val="double" w:sz="4" w:space="0" w:color="auto"/>
            </w:tcBorders>
            <w:shd w:val="clear" w:color="auto" w:fill="D9D9D9" w:themeFill="background1" w:themeFillShade="D9"/>
            <w:vAlign w:val="center"/>
          </w:tcPr>
          <w:p w14:paraId="11DB7667"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2B5A0BE9"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13662661" w14:textId="77777777" w:rsidTr="00764C61">
        <w:trPr>
          <w:trHeight w:val="20"/>
          <w:jc w:val="center"/>
        </w:trPr>
        <w:tc>
          <w:tcPr>
            <w:tcW w:w="638" w:type="pct"/>
            <w:vMerge w:val="restart"/>
            <w:tcBorders>
              <w:top w:val="double" w:sz="4" w:space="0" w:color="auto"/>
              <w:left w:val="double" w:sz="4" w:space="0" w:color="auto"/>
            </w:tcBorders>
          </w:tcPr>
          <w:p w14:paraId="48721F9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1.2.1 Ofruesi i AFP-së zhvillohet nëpërmjet planit afatmesëm</w:t>
            </w:r>
          </w:p>
        </w:tc>
        <w:tc>
          <w:tcPr>
            <w:tcW w:w="2034" w:type="pct"/>
            <w:tcBorders>
              <w:top w:val="double" w:sz="4" w:space="0" w:color="auto"/>
            </w:tcBorders>
          </w:tcPr>
          <w:p w14:paraId="5D3335E1"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1.2.1.1</w:t>
            </w:r>
            <w:r>
              <w:rPr>
                <w:rFonts w:ascii="Garamond" w:hAnsi="Garamond"/>
                <w:bCs/>
                <w:sz w:val="20"/>
                <w:szCs w:val="20"/>
                <w:lang w:val="sq-AL"/>
              </w:rPr>
              <w:t xml:space="preserve"> (*)</w:t>
            </w:r>
            <w:r w:rsidRPr="00327310">
              <w:rPr>
                <w:rFonts w:ascii="Garamond" w:hAnsi="Garamond"/>
                <w:bCs/>
                <w:sz w:val="20"/>
                <w:szCs w:val="20"/>
                <w:lang w:val="sq-AL"/>
              </w:rPr>
              <w:t xml:space="preserve"> Plani afatmesëm hartohet nga drejtoria e ofruesit të AFP-së, në përputhje me të gjitha kriteret ligjore.</w:t>
            </w:r>
          </w:p>
        </w:tc>
        <w:tc>
          <w:tcPr>
            <w:tcW w:w="493" w:type="pct"/>
            <w:tcBorders>
              <w:top w:val="double" w:sz="4" w:space="0" w:color="auto"/>
            </w:tcBorders>
          </w:tcPr>
          <w:p w14:paraId="10A6D7E7" w14:textId="77777777" w:rsidR="008412F5" w:rsidRPr="00327310" w:rsidRDefault="008412F5" w:rsidP="00764C61">
            <w:pPr>
              <w:pStyle w:val="ListParagraph"/>
              <w:spacing w:after="0" w:line="240" w:lineRule="auto"/>
              <w:ind w:left="0"/>
              <w:rPr>
                <w:rFonts w:ascii="Garamond" w:hAnsi="Garamond"/>
                <w:sz w:val="20"/>
                <w:szCs w:val="20"/>
                <w:u w:val="single"/>
                <w:lang w:val="sq-AL"/>
              </w:rPr>
            </w:pPr>
            <w:r w:rsidRPr="00327310">
              <w:rPr>
                <w:rFonts w:ascii="Garamond" w:hAnsi="Garamond"/>
                <w:sz w:val="20"/>
                <w:szCs w:val="20"/>
                <w:u w:val="single"/>
                <w:lang w:val="sq-AL"/>
              </w:rPr>
              <w:t>√</w:t>
            </w:r>
          </w:p>
        </w:tc>
        <w:tc>
          <w:tcPr>
            <w:tcW w:w="468" w:type="pct"/>
            <w:tcBorders>
              <w:top w:val="double" w:sz="4" w:space="0" w:color="auto"/>
            </w:tcBorders>
          </w:tcPr>
          <w:p w14:paraId="6BB5604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Borders>
              <w:top w:val="double" w:sz="4" w:space="0" w:color="auto"/>
            </w:tcBorders>
          </w:tcPr>
          <w:p w14:paraId="283A855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Borders>
              <w:top w:val="double" w:sz="4" w:space="0" w:color="auto"/>
            </w:tcBorders>
          </w:tcPr>
          <w:p w14:paraId="681936E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8" w:type="pct"/>
            <w:tcBorders>
              <w:top w:val="double" w:sz="4" w:space="0" w:color="auto"/>
              <w:right w:val="double" w:sz="4" w:space="0" w:color="auto"/>
            </w:tcBorders>
          </w:tcPr>
          <w:p w14:paraId="2A5B80BA"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D1E617A" w14:textId="77777777" w:rsidTr="00764C61">
        <w:trPr>
          <w:trHeight w:val="20"/>
          <w:jc w:val="center"/>
        </w:trPr>
        <w:tc>
          <w:tcPr>
            <w:tcW w:w="638" w:type="pct"/>
            <w:vMerge/>
            <w:tcBorders>
              <w:left w:val="double" w:sz="4" w:space="0" w:color="auto"/>
            </w:tcBorders>
          </w:tcPr>
          <w:p w14:paraId="50DB23A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34" w:type="pct"/>
          </w:tcPr>
          <w:p w14:paraId="01F41517"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1.2.1.2</w:t>
            </w:r>
            <w:r>
              <w:rPr>
                <w:rFonts w:ascii="Garamond" w:hAnsi="Garamond"/>
                <w:bCs/>
                <w:sz w:val="20"/>
                <w:szCs w:val="20"/>
                <w:lang w:val="sq-AL"/>
              </w:rPr>
              <w:t xml:space="preserve"> (*)</w:t>
            </w:r>
            <w:r w:rsidRPr="00327310">
              <w:rPr>
                <w:rFonts w:ascii="Garamond" w:hAnsi="Garamond"/>
                <w:bCs/>
                <w:sz w:val="20"/>
                <w:szCs w:val="20"/>
                <w:lang w:val="sq-AL"/>
              </w:rPr>
              <w:t xml:space="preserve"> Plani afatmesëm përfshin rezultatet e konsultimeve me grupet e interesit dhe miratohet nga strukturat e brendshme të menaxhimit.</w:t>
            </w:r>
          </w:p>
        </w:tc>
        <w:tc>
          <w:tcPr>
            <w:tcW w:w="493" w:type="pct"/>
          </w:tcPr>
          <w:p w14:paraId="0BD9CF2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8" w:type="pct"/>
          </w:tcPr>
          <w:p w14:paraId="3DECBCB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3E0FEBF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03DC688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2" w:type="pct"/>
          </w:tcPr>
          <w:p w14:paraId="39A3D2C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8" w:type="pct"/>
            <w:tcBorders>
              <w:right w:val="double" w:sz="4" w:space="0" w:color="auto"/>
            </w:tcBorders>
          </w:tcPr>
          <w:p w14:paraId="5CDAB353"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C957FB0" w14:textId="77777777" w:rsidTr="00764C61">
        <w:trPr>
          <w:trHeight w:val="20"/>
          <w:jc w:val="center"/>
        </w:trPr>
        <w:tc>
          <w:tcPr>
            <w:tcW w:w="638" w:type="pct"/>
            <w:vMerge/>
            <w:tcBorders>
              <w:left w:val="double" w:sz="4" w:space="0" w:color="auto"/>
            </w:tcBorders>
          </w:tcPr>
          <w:p w14:paraId="218E557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34" w:type="pct"/>
          </w:tcPr>
          <w:p w14:paraId="6C72AA3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1.2.1.3 Plani afatmesëm përcakton metodologjinë dhe instrumentet e vlerësimit për çdo objektiv të vendosur.</w:t>
            </w:r>
          </w:p>
        </w:tc>
        <w:tc>
          <w:tcPr>
            <w:tcW w:w="493" w:type="pct"/>
          </w:tcPr>
          <w:p w14:paraId="05FA2D2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69A3B53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486CF79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1762730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8" w:type="pct"/>
            <w:tcBorders>
              <w:right w:val="double" w:sz="4" w:space="0" w:color="auto"/>
            </w:tcBorders>
          </w:tcPr>
          <w:p w14:paraId="36E3CF53"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9497A91" w14:textId="77777777" w:rsidTr="00764C61">
        <w:trPr>
          <w:trHeight w:val="20"/>
          <w:jc w:val="center"/>
        </w:trPr>
        <w:tc>
          <w:tcPr>
            <w:tcW w:w="638" w:type="pct"/>
            <w:vMerge/>
            <w:tcBorders>
              <w:left w:val="double" w:sz="4" w:space="0" w:color="auto"/>
            </w:tcBorders>
          </w:tcPr>
          <w:p w14:paraId="6E50694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34" w:type="pct"/>
          </w:tcPr>
          <w:p w14:paraId="1DE41A5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1.2.1.4 Plani afatmesëm bazohet në prioritetet kombëtare të përcaktuara në strategjitë kombëtare për zhvillimin ekonomik, tregun e punës dhe AFP-në, si dhe në objektivat, planet dhe veprimtaritë për arsimin gjithëpërfshirës.</w:t>
            </w:r>
          </w:p>
        </w:tc>
        <w:tc>
          <w:tcPr>
            <w:tcW w:w="493" w:type="pct"/>
          </w:tcPr>
          <w:p w14:paraId="52D463E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390AB53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6AD706A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8" w:type="pct"/>
          </w:tcPr>
          <w:p w14:paraId="5627F2D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559AF8F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354F038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8" w:type="pct"/>
            <w:tcBorders>
              <w:right w:val="double" w:sz="4" w:space="0" w:color="auto"/>
            </w:tcBorders>
          </w:tcPr>
          <w:p w14:paraId="334781C0"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A1804DC" w14:textId="77777777" w:rsidTr="00764C61">
        <w:trPr>
          <w:trHeight w:val="20"/>
          <w:jc w:val="center"/>
        </w:trPr>
        <w:tc>
          <w:tcPr>
            <w:tcW w:w="638" w:type="pct"/>
            <w:vMerge/>
            <w:tcBorders>
              <w:left w:val="double" w:sz="4" w:space="0" w:color="auto"/>
            </w:tcBorders>
          </w:tcPr>
          <w:p w14:paraId="72EFE20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34" w:type="pct"/>
          </w:tcPr>
          <w:p w14:paraId="77BEAF6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1.2.1.5</w:t>
            </w:r>
            <w:r>
              <w:rPr>
                <w:rFonts w:ascii="Garamond" w:hAnsi="Garamond"/>
                <w:bCs/>
                <w:sz w:val="20"/>
                <w:szCs w:val="20"/>
                <w:lang w:val="sq-AL"/>
              </w:rPr>
              <w:t xml:space="preserve"> (*)</w:t>
            </w:r>
            <w:r w:rsidRPr="00327310">
              <w:rPr>
                <w:rFonts w:ascii="Garamond" w:hAnsi="Garamond"/>
                <w:bCs/>
                <w:sz w:val="20"/>
                <w:szCs w:val="20"/>
                <w:lang w:val="sq-AL"/>
              </w:rPr>
              <w:t xml:space="preserve"> Objektivat e planit afatmesëm u referohen të gjitha llojeve dhe niveleve të kualifikimeve profesionale të ofruara</w:t>
            </w:r>
            <w:r w:rsidRPr="00327310">
              <w:rPr>
                <w:rFonts w:ascii="Garamond" w:hAnsi="Garamond"/>
                <w:sz w:val="20"/>
                <w:szCs w:val="20"/>
                <w:lang w:val="sq-AL"/>
              </w:rPr>
              <w:t xml:space="preserve">. </w:t>
            </w:r>
          </w:p>
        </w:tc>
        <w:tc>
          <w:tcPr>
            <w:tcW w:w="493" w:type="pct"/>
          </w:tcPr>
          <w:p w14:paraId="695B2D3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69E2CFD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3D4BD5F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215CA91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7AD0C0C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8" w:type="pct"/>
            <w:tcBorders>
              <w:right w:val="double" w:sz="4" w:space="0" w:color="auto"/>
            </w:tcBorders>
          </w:tcPr>
          <w:p w14:paraId="3581A808"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7426084" w14:textId="77777777" w:rsidTr="00764C61">
        <w:trPr>
          <w:trHeight w:val="20"/>
          <w:jc w:val="center"/>
        </w:trPr>
        <w:tc>
          <w:tcPr>
            <w:tcW w:w="638" w:type="pct"/>
            <w:vMerge w:val="restart"/>
            <w:tcBorders>
              <w:left w:val="double" w:sz="4" w:space="0" w:color="auto"/>
            </w:tcBorders>
          </w:tcPr>
          <w:p w14:paraId="167F507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1.2.2 Plani vjetor, struktura dhe zbatimi i tij</w:t>
            </w:r>
          </w:p>
        </w:tc>
        <w:tc>
          <w:tcPr>
            <w:tcW w:w="2034" w:type="pct"/>
          </w:tcPr>
          <w:p w14:paraId="2D3F290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1.2.2.1</w:t>
            </w:r>
            <w:r>
              <w:rPr>
                <w:rFonts w:ascii="Garamond" w:hAnsi="Garamond"/>
                <w:bCs/>
                <w:sz w:val="20"/>
                <w:szCs w:val="20"/>
                <w:lang w:val="sq-AL"/>
              </w:rPr>
              <w:t xml:space="preserve"> (*)</w:t>
            </w:r>
            <w:r w:rsidRPr="00327310">
              <w:rPr>
                <w:rFonts w:ascii="Garamond" w:hAnsi="Garamond"/>
                <w:bCs/>
                <w:sz w:val="20"/>
                <w:szCs w:val="20"/>
                <w:lang w:val="sq-AL"/>
              </w:rPr>
              <w:t xml:space="preserve"> Plani vjetor është hartuar në përputhje me të gjitha kriteret ligjore nga drejtoria e ofruesit të AFP-së dhe është miratuar në përputhje me procedurat e përcaktuara nga legjislacioni në fuqi.</w:t>
            </w:r>
          </w:p>
        </w:tc>
        <w:tc>
          <w:tcPr>
            <w:tcW w:w="493" w:type="pct"/>
          </w:tcPr>
          <w:p w14:paraId="6B15705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3083BD6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490605B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0716FE0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2" w:type="pct"/>
          </w:tcPr>
          <w:p w14:paraId="181C084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8" w:type="pct"/>
            <w:tcBorders>
              <w:right w:val="double" w:sz="4" w:space="0" w:color="auto"/>
            </w:tcBorders>
          </w:tcPr>
          <w:p w14:paraId="0675FB9D"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242173D" w14:textId="77777777" w:rsidTr="00764C61">
        <w:trPr>
          <w:trHeight w:val="20"/>
          <w:jc w:val="center"/>
        </w:trPr>
        <w:tc>
          <w:tcPr>
            <w:tcW w:w="638" w:type="pct"/>
            <w:vMerge/>
            <w:tcBorders>
              <w:left w:val="double" w:sz="4" w:space="0" w:color="auto"/>
            </w:tcBorders>
          </w:tcPr>
          <w:p w14:paraId="487DA7C8"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2034" w:type="pct"/>
          </w:tcPr>
          <w:p w14:paraId="179A7901"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1.2.2.2</w:t>
            </w:r>
            <w:r>
              <w:rPr>
                <w:rFonts w:ascii="Garamond" w:hAnsi="Garamond"/>
                <w:bCs/>
                <w:sz w:val="20"/>
                <w:szCs w:val="20"/>
                <w:lang w:val="sq-AL"/>
              </w:rPr>
              <w:t xml:space="preserve"> (*)</w:t>
            </w:r>
            <w:r w:rsidRPr="00327310">
              <w:rPr>
                <w:rFonts w:ascii="Garamond" w:hAnsi="Garamond"/>
                <w:bCs/>
                <w:sz w:val="20"/>
                <w:szCs w:val="20"/>
                <w:lang w:val="sq-AL"/>
              </w:rPr>
              <w:t xml:space="preserve"> Plani vjetor bazohet në planin afatmesëm dhe është i ndarë sipas </w:t>
            </w:r>
            <w:r w:rsidRPr="00327310">
              <w:rPr>
                <w:rFonts w:ascii="Garamond" w:hAnsi="Garamond"/>
                <w:sz w:val="20"/>
                <w:szCs w:val="20"/>
                <w:lang w:val="sq-AL"/>
              </w:rPr>
              <w:t>objektivave SMART</w:t>
            </w:r>
            <w:r w:rsidRPr="00327310">
              <w:rPr>
                <w:rFonts w:ascii="Garamond" w:hAnsi="Garamond"/>
                <w:sz w:val="20"/>
                <w:szCs w:val="20"/>
                <w:vertAlign w:val="superscript"/>
                <w:lang w:val="sq-AL"/>
              </w:rPr>
              <w:footnoteReference w:id="1"/>
            </w:r>
            <w:r w:rsidRPr="00327310">
              <w:rPr>
                <w:rFonts w:ascii="Garamond" w:hAnsi="Garamond"/>
                <w:sz w:val="20"/>
                <w:szCs w:val="20"/>
                <w:lang w:val="sq-AL"/>
              </w:rPr>
              <w:t xml:space="preserve">, veprimtarive dhe treguesve të performancës, </w:t>
            </w:r>
            <w:r w:rsidRPr="00327310">
              <w:rPr>
                <w:rFonts w:ascii="Garamond" w:hAnsi="Garamond"/>
                <w:bCs/>
                <w:sz w:val="20"/>
                <w:szCs w:val="20"/>
                <w:lang w:val="sq-AL"/>
              </w:rPr>
              <w:t>si dhe është miratuar nga strukturat e brendshme të menaxhimit, sipas kuadrit ligjor në fuqi.</w:t>
            </w:r>
          </w:p>
        </w:tc>
        <w:tc>
          <w:tcPr>
            <w:tcW w:w="493" w:type="pct"/>
          </w:tcPr>
          <w:p w14:paraId="1C20CA9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3108072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1C071AE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8" w:type="pct"/>
          </w:tcPr>
          <w:p w14:paraId="57A0623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3EE5B93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2" w:type="pct"/>
          </w:tcPr>
          <w:p w14:paraId="0DFE706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752A226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 </w:t>
            </w:r>
          </w:p>
        </w:tc>
        <w:tc>
          <w:tcPr>
            <w:tcW w:w="438" w:type="pct"/>
            <w:tcBorders>
              <w:right w:val="double" w:sz="4" w:space="0" w:color="auto"/>
            </w:tcBorders>
          </w:tcPr>
          <w:p w14:paraId="6C77FD6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86126EB" w14:textId="77777777" w:rsidTr="00764C61">
        <w:trPr>
          <w:trHeight w:val="20"/>
          <w:jc w:val="center"/>
        </w:trPr>
        <w:tc>
          <w:tcPr>
            <w:tcW w:w="638" w:type="pct"/>
            <w:vMerge/>
            <w:tcBorders>
              <w:left w:val="double" w:sz="4" w:space="0" w:color="auto"/>
            </w:tcBorders>
          </w:tcPr>
          <w:p w14:paraId="4C825481"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2034" w:type="pct"/>
          </w:tcPr>
          <w:p w14:paraId="3EF0AE6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1.2.2.3</w:t>
            </w:r>
            <w:r>
              <w:rPr>
                <w:rFonts w:ascii="Garamond" w:hAnsi="Garamond"/>
                <w:bCs/>
                <w:sz w:val="20"/>
                <w:szCs w:val="20"/>
                <w:lang w:val="sq-AL"/>
              </w:rPr>
              <w:t xml:space="preserve"> (*)</w:t>
            </w:r>
            <w:r w:rsidRPr="00327310">
              <w:rPr>
                <w:rFonts w:ascii="Garamond" w:hAnsi="Garamond"/>
                <w:bCs/>
                <w:sz w:val="20"/>
                <w:szCs w:val="20"/>
                <w:lang w:val="sq-AL"/>
              </w:rPr>
              <w:t xml:space="preserve"> Objektivat e planit vjetor u referohen të gjitha llojeve dhe niveleve të kualifikimeve profesionale të ofruara</w:t>
            </w:r>
            <w:r w:rsidRPr="00327310">
              <w:rPr>
                <w:rFonts w:ascii="Garamond" w:hAnsi="Garamond"/>
                <w:sz w:val="20"/>
                <w:szCs w:val="20"/>
                <w:lang w:val="sq-AL"/>
              </w:rPr>
              <w:t>.</w:t>
            </w:r>
          </w:p>
        </w:tc>
        <w:tc>
          <w:tcPr>
            <w:tcW w:w="493" w:type="pct"/>
          </w:tcPr>
          <w:p w14:paraId="32609C6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3F5E2C6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1ADB7D9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8" w:type="pct"/>
          </w:tcPr>
          <w:p w14:paraId="716CAB9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7100AFF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426BF31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8" w:type="pct"/>
            <w:tcBorders>
              <w:right w:val="double" w:sz="4" w:space="0" w:color="auto"/>
            </w:tcBorders>
          </w:tcPr>
          <w:p w14:paraId="4259C180" w14:textId="77777777" w:rsidR="008412F5" w:rsidRPr="00327310" w:rsidRDefault="008412F5" w:rsidP="00764C61">
            <w:pPr>
              <w:pStyle w:val="ListParagraph"/>
              <w:spacing w:after="0" w:line="240" w:lineRule="auto"/>
              <w:ind w:left="0"/>
              <w:rPr>
                <w:rFonts w:ascii="Garamond" w:hAnsi="Garamond"/>
                <w:sz w:val="20"/>
                <w:szCs w:val="20"/>
                <w:lang w:val="sq-AL"/>
              </w:rPr>
            </w:pPr>
          </w:p>
        </w:tc>
      </w:tr>
    </w:tbl>
    <w:p w14:paraId="121EA991" w14:textId="77777777" w:rsidR="008412F5" w:rsidRPr="00327310" w:rsidRDefault="008412F5" w:rsidP="008412F5">
      <w:pPr>
        <w:pStyle w:val="ListParagraph"/>
        <w:ind w:firstLine="284"/>
        <w:jc w:val="both"/>
        <w:rPr>
          <w:rFonts w:ascii="Garamond" w:hAnsi="Garamond"/>
          <w:bCs/>
          <w:sz w:val="24"/>
          <w:szCs w:val="24"/>
          <w:lang w:val="sq-AL"/>
        </w:rPr>
      </w:pPr>
      <w:bookmarkStart w:id="4" w:name="_Toc44689552"/>
    </w:p>
    <w:p w14:paraId="3D5BC8E3" w14:textId="77777777" w:rsidR="008412F5" w:rsidRDefault="008412F5" w:rsidP="008412F5">
      <w:pPr>
        <w:pStyle w:val="ListParagraph"/>
        <w:ind w:firstLine="284"/>
        <w:jc w:val="both"/>
        <w:rPr>
          <w:rFonts w:ascii="Garamond" w:hAnsi="Garamond"/>
          <w:b/>
          <w:bCs/>
          <w:sz w:val="24"/>
          <w:szCs w:val="24"/>
          <w:lang w:val="sq-AL"/>
        </w:rPr>
      </w:pPr>
    </w:p>
    <w:p w14:paraId="05368290" w14:textId="77777777" w:rsidR="008412F5" w:rsidRDefault="008412F5" w:rsidP="008412F5">
      <w:pPr>
        <w:pStyle w:val="ListParagraph"/>
        <w:ind w:firstLine="284"/>
        <w:jc w:val="both"/>
        <w:rPr>
          <w:rFonts w:ascii="Garamond" w:hAnsi="Garamond"/>
          <w:b/>
          <w:bCs/>
          <w:sz w:val="24"/>
          <w:szCs w:val="24"/>
          <w:lang w:val="sq-AL"/>
        </w:rPr>
      </w:pPr>
    </w:p>
    <w:p w14:paraId="173B767A" w14:textId="77777777" w:rsidR="008412F5" w:rsidRDefault="008412F5" w:rsidP="008412F5">
      <w:pPr>
        <w:pStyle w:val="ListParagraph"/>
        <w:ind w:firstLine="284"/>
        <w:jc w:val="both"/>
        <w:rPr>
          <w:rFonts w:ascii="Garamond" w:hAnsi="Garamond"/>
          <w:b/>
          <w:bCs/>
          <w:sz w:val="24"/>
          <w:szCs w:val="24"/>
          <w:lang w:val="sq-AL"/>
        </w:rPr>
      </w:pPr>
    </w:p>
    <w:p w14:paraId="5F3CE795" w14:textId="77777777" w:rsidR="008412F5" w:rsidRDefault="008412F5" w:rsidP="008412F5">
      <w:pPr>
        <w:pStyle w:val="ListParagraph"/>
        <w:ind w:firstLine="284"/>
        <w:jc w:val="both"/>
        <w:rPr>
          <w:rFonts w:ascii="Garamond" w:hAnsi="Garamond"/>
          <w:b/>
          <w:bCs/>
          <w:sz w:val="24"/>
          <w:szCs w:val="24"/>
          <w:lang w:val="sq-AL"/>
        </w:rPr>
      </w:pPr>
    </w:p>
    <w:p w14:paraId="3E8D20FC" w14:textId="77777777" w:rsidR="008412F5" w:rsidRPr="00327310" w:rsidRDefault="008412F5" w:rsidP="008412F5">
      <w:pPr>
        <w:pStyle w:val="ListParagraph"/>
        <w:ind w:firstLine="284"/>
        <w:jc w:val="both"/>
        <w:rPr>
          <w:rFonts w:ascii="Garamond" w:hAnsi="Garamond"/>
          <w:b/>
          <w:bCs/>
          <w:sz w:val="24"/>
          <w:szCs w:val="24"/>
          <w:lang w:val="sq-AL"/>
        </w:rPr>
      </w:pPr>
      <w:r w:rsidRPr="00327310">
        <w:rPr>
          <w:rFonts w:ascii="Garamond" w:hAnsi="Garamond"/>
          <w:b/>
          <w:bCs/>
          <w:sz w:val="24"/>
          <w:szCs w:val="24"/>
          <w:lang w:val="sq-AL"/>
        </w:rPr>
        <w:lastRenderedPageBreak/>
        <w:t>Nënfusha 1.3 Menaxhimi dhe monitorimi i dokumenteve dhe të dhënave</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197"/>
        <w:gridCol w:w="4412"/>
        <w:gridCol w:w="1451"/>
        <w:gridCol w:w="1364"/>
        <w:gridCol w:w="1364"/>
        <w:gridCol w:w="1128"/>
        <w:gridCol w:w="1252"/>
      </w:tblGrid>
      <w:tr w:rsidR="008412F5" w:rsidRPr="00327310" w14:paraId="31826459" w14:textId="77777777" w:rsidTr="00764C61">
        <w:trPr>
          <w:trHeight w:val="20"/>
          <w:jc w:val="center"/>
        </w:trPr>
        <w:tc>
          <w:tcPr>
            <w:tcW w:w="643" w:type="pct"/>
            <w:tcBorders>
              <w:top w:val="double" w:sz="4" w:space="0" w:color="auto"/>
              <w:left w:val="double" w:sz="4" w:space="0" w:color="auto"/>
              <w:bottom w:val="double" w:sz="4" w:space="0" w:color="auto"/>
            </w:tcBorders>
            <w:shd w:val="clear" w:color="auto" w:fill="D9D9D9" w:themeFill="background1" w:themeFillShade="D9"/>
            <w:vAlign w:val="center"/>
          </w:tcPr>
          <w:p w14:paraId="473745E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2036" w:type="pct"/>
            <w:gridSpan w:val="2"/>
            <w:tcBorders>
              <w:top w:val="double" w:sz="4" w:space="0" w:color="auto"/>
              <w:bottom w:val="double" w:sz="4" w:space="0" w:color="auto"/>
            </w:tcBorders>
            <w:shd w:val="clear" w:color="auto" w:fill="D9D9D9" w:themeFill="background1" w:themeFillShade="D9"/>
            <w:vAlign w:val="center"/>
          </w:tcPr>
          <w:p w14:paraId="2E8281E5"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532" w:type="pct"/>
            <w:tcBorders>
              <w:top w:val="double" w:sz="4" w:space="0" w:color="auto"/>
              <w:bottom w:val="double" w:sz="4" w:space="0" w:color="auto"/>
            </w:tcBorders>
            <w:shd w:val="clear" w:color="auto" w:fill="D9D9D9" w:themeFill="background1" w:themeFillShade="D9"/>
            <w:vAlign w:val="center"/>
          </w:tcPr>
          <w:p w14:paraId="5FBDFE23"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16CB7DA7"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17A02997"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68" w:type="pct"/>
            <w:tcBorders>
              <w:top w:val="double" w:sz="4" w:space="0" w:color="auto"/>
              <w:bottom w:val="double" w:sz="4" w:space="0" w:color="auto"/>
            </w:tcBorders>
            <w:shd w:val="clear" w:color="auto" w:fill="D9D9D9" w:themeFill="background1" w:themeFillShade="D9"/>
            <w:vAlign w:val="center"/>
          </w:tcPr>
          <w:p w14:paraId="766848F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470" w:type="pct"/>
            <w:tcBorders>
              <w:top w:val="double" w:sz="4" w:space="0" w:color="auto"/>
              <w:bottom w:val="double" w:sz="4" w:space="0" w:color="auto"/>
            </w:tcBorders>
            <w:shd w:val="clear" w:color="auto" w:fill="D9D9D9" w:themeFill="background1" w:themeFillShade="D9"/>
            <w:vAlign w:val="center"/>
          </w:tcPr>
          <w:p w14:paraId="19C5088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16" w:type="pct"/>
            <w:tcBorders>
              <w:top w:val="double" w:sz="4" w:space="0" w:color="auto"/>
              <w:bottom w:val="double" w:sz="4" w:space="0" w:color="auto"/>
            </w:tcBorders>
            <w:shd w:val="clear" w:color="auto" w:fill="D9D9D9" w:themeFill="background1" w:themeFillShade="D9"/>
            <w:vAlign w:val="center"/>
          </w:tcPr>
          <w:p w14:paraId="36E4C4D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36" w:type="pct"/>
            <w:tcBorders>
              <w:top w:val="double" w:sz="4" w:space="0" w:color="auto"/>
              <w:bottom w:val="double" w:sz="4" w:space="0" w:color="auto"/>
              <w:right w:val="double" w:sz="4" w:space="0" w:color="auto"/>
            </w:tcBorders>
            <w:shd w:val="clear" w:color="auto" w:fill="D9D9D9" w:themeFill="background1" w:themeFillShade="D9"/>
            <w:vAlign w:val="center"/>
          </w:tcPr>
          <w:p w14:paraId="01601C83"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5F328E1A"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5DA40631" w14:textId="77777777" w:rsidTr="00764C61">
        <w:tblPrEx>
          <w:jc w:val="left"/>
        </w:tblPrEx>
        <w:trPr>
          <w:trHeight w:val="20"/>
        </w:trPr>
        <w:tc>
          <w:tcPr>
            <w:tcW w:w="643" w:type="pct"/>
            <w:vMerge w:val="restart"/>
            <w:tcBorders>
              <w:top w:val="double" w:sz="4" w:space="0" w:color="auto"/>
              <w:left w:val="double" w:sz="4" w:space="0" w:color="auto"/>
            </w:tcBorders>
          </w:tcPr>
          <w:p w14:paraId="725074A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1.3.1 Menaxhimi dhe monitorimi sistematik i të dhënave dhe dokumentacionit të ofruesit të AFP-së </w:t>
            </w:r>
          </w:p>
        </w:tc>
        <w:tc>
          <w:tcPr>
            <w:tcW w:w="2036" w:type="pct"/>
            <w:gridSpan w:val="2"/>
            <w:tcBorders>
              <w:top w:val="double" w:sz="4" w:space="0" w:color="auto"/>
            </w:tcBorders>
          </w:tcPr>
          <w:p w14:paraId="1398586E"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1.3.1.1 (*) Drejtoria e ofruesit të AFP-së krijon një sistem të menaxhimit të dokumentacionit për identifikimin, ruajtjen, mbrojtjen, tërheqjen, mbajtjen dhe asgjësimin e të gjitha të dhënave dhe dokumenteve, me qëllim që të dhënat të jenë të lexueshme, të identifikueshme dhe të përdorshme, në përputhje me legjislacionin në fuqi.</w:t>
            </w:r>
          </w:p>
        </w:tc>
        <w:tc>
          <w:tcPr>
            <w:tcW w:w="532" w:type="pct"/>
            <w:tcBorders>
              <w:top w:val="double" w:sz="4" w:space="0" w:color="auto"/>
            </w:tcBorders>
          </w:tcPr>
          <w:p w14:paraId="56853021"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68" w:type="pct"/>
            <w:tcBorders>
              <w:top w:val="double" w:sz="4" w:space="0" w:color="auto"/>
            </w:tcBorders>
          </w:tcPr>
          <w:p w14:paraId="4E94365B"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p w14:paraId="26F62F21"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70" w:type="pct"/>
            <w:tcBorders>
              <w:top w:val="double" w:sz="4" w:space="0" w:color="auto"/>
            </w:tcBorders>
          </w:tcPr>
          <w:p w14:paraId="4D7AD84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7CC927EF" w14:textId="77777777" w:rsidR="008412F5" w:rsidRPr="00327310" w:rsidRDefault="008412F5" w:rsidP="00764C61">
            <w:pPr>
              <w:pStyle w:val="ListParagraph"/>
              <w:spacing w:after="0" w:line="240" w:lineRule="auto"/>
              <w:ind w:left="0"/>
              <w:rPr>
                <w:rFonts w:ascii="Garamond" w:hAnsi="Garamond"/>
                <w:sz w:val="20"/>
                <w:szCs w:val="20"/>
                <w:lang w:val="sq-AL"/>
              </w:rPr>
            </w:pPr>
          </w:p>
          <w:p w14:paraId="4C0E08D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16" w:type="pct"/>
            <w:tcBorders>
              <w:top w:val="double" w:sz="4" w:space="0" w:color="auto"/>
            </w:tcBorders>
          </w:tcPr>
          <w:p w14:paraId="5175F44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6" w:type="pct"/>
            <w:tcBorders>
              <w:top w:val="double" w:sz="4" w:space="0" w:color="auto"/>
              <w:right w:val="double" w:sz="4" w:space="0" w:color="auto"/>
            </w:tcBorders>
          </w:tcPr>
          <w:p w14:paraId="3528146A"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D1F5B89" w14:textId="77777777" w:rsidTr="00764C61">
        <w:tblPrEx>
          <w:jc w:val="left"/>
        </w:tblPrEx>
        <w:trPr>
          <w:trHeight w:val="20"/>
        </w:trPr>
        <w:tc>
          <w:tcPr>
            <w:tcW w:w="643" w:type="pct"/>
            <w:vMerge/>
            <w:tcBorders>
              <w:left w:val="double" w:sz="4" w:space="0" w:color="auto"/>
            </w:tcBorders>
          </w:tcPr>
          <w:p w14:paraId="788E5DE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36" w:type="pct"/>
            <w:gridSpan w:val="2"/>
          </w:tcPr>
          <w:p w14:paraId="08B5CB3A"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bCs/>
                <w:sz w:val="20"/>
                <w:szCs w:val="20"/>
                <w:lang w:val="sq-AL"/>
              </w:rPr>
              <w:t>1.3.1.2</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lëshon dokumentet e nevojshme të certifikimit, sipas kuadrit ligjor në fuqi, për të gjithë nxënësit/kursantët/ individët dhe për të gjitha llojet e kualifikimeve profesionale.</w:t>
            </w:r>
          </w:p>
        </w:tc>
        <w:tc>
          <w:tcPr>
            <w:tcW w:w="532" w:type="pct"/>
          </w:tcPr>
          <w:p w14:paraId="4142353B"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68" w:type="pct"/>
          </w:tcPr>
          <w:p w14:paraId="2400E503"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70" w:type="pct"/>
          </w:tcPr>
          <w:p w14:paraId="515E6FF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16" w:type="pct"/>
          </w:tcPr>
          <w:p w14:paraId="2EFB3D3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6" w:type="pct"/>
            <w:tcBorders>
              <w:right w:val="double" w:sz="4" w:space="0" w:color="auto"/>
            </w:tcBorders>
          </w:tcPr>
          <w:p w14:paraId="77673313"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825A2BD" w14:textId="77777777" w:rsidTr="00764C61">
        <w:tblPrEx>
          <w:jc w:val="left"/>
        </w:tblPrEx>
        <w:trPr>
          <w:trHeight w:val="20"/>
        </w:trPr>
        <w:tc>
          <w:tcPr>
            <w:tcW w:w="643" w:type="pct"/>
            <w:vMerge/>
            <w:tcBorders>
              <w:left w:val="double" w:sz="4" w:space="0" w:color="auto"/>
            </w:tcBorders>
          </w:tcPr>
          <w:p w14:paraId="4707658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36" w:type="pct"/>
            <w:gridSpan w:val="2"/>
          </w:tcPr>
          <w:p w14:paraId="01CE757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1.3.1.3</w:t>
            </w:r>
            <w:r>
              <w:rPr>
                <w:rFonts w:ascii="Garamond" w:hAnsi="Garamond"/>
                <w:sz w:val="20"/>
                <w:szCs w:val="20"/>
                <w:lang w:val="sq-AL"/>
              </w:rPr>
              <w:t xml:space="preserve"> (*)</w:t>
            </w:r>
            <w:r w:rsidRPr="00327310">
              <w:rPr>
                <w:rFonts w:ascii="Garamond" w:hAnsi="Garamond"/>
                <w:bCs/>
                <w:sz w:val="20"/>
                <w:szCs w:val="20"/>
                <w:lang w:val="sq-AL"/>
              </w:rPr>
              <w:t xml:space="preserve"> </w:t>
            </w:r>
            <w:r w:rsidRPr="00327310">
              <w:rPr>
                <w:rFonts w:ascii="Garamond" w:hAnsi="Garamond"/>
                <w:sz w:val="20"/>
                <w:szCs w:val="20"/>
                <w:lang w:val="sq-AL"/>
              </w:rPr>
              <w:t>Drejtoria e ofruesit të AFP-së respekton kriteret ligjore për ruajtjen e konfidencialitetit të dokumenteve dhe mbrojtjen e të dhënave personale.</w:t>
            </w:r>
          </w:p>
        </w:tc>
        <w:tc>
          <w:tcPr>
            <w:tcW w:w="532" w:type="pct"/>
          </w:tcPr>
          <w:p w14:paraId="687DEB8A"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68" w:type="pct"/>
          </w:tcPr>
          <w:p w14:paraId="41C1F0A4"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70" w:type="pct"/>
          </w:tcPr>
          <w:p w14:paraId="4839967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16" w:type="pct"/>
          </w:tcPr>
          <w:p w14:paraId="644D8F9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0E89AD0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6" w:type="pct"/>
            <w:tcBorders>
              <w:right w:val="double" w:sz="4" w:space="0" w:color="auto"/>
            </w:tcBorders>
          </w:tcPr>
          <w:p w14:paraId="52C0C3D5"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3128515" w14:textId="77777777" w:rsidTr="00764C61">
        <w:tblPrEx>
          <w:jc w:val="left"/>
        </w:tblPrEx>
        <w:trPr>
          <w:trHeight w:val="20"/>
        </w:trPr>
        <w:tc>
          <w:tcPr>
            <w:tcW w:w="643" w:type="pct"/>
            <w:vMerge w:val="restart"/>
            <w:tcBorders>
              <w:left w:val="double" w:sz="4" w:space="0" w:color="auto"/>
            </w:tcBorders>
          </w:tcPr>
          <w:p w14:paraId="66E0F6C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1.3.2 Të dhënat zyrtare, statistikat dhe dokumentacioni për regjistrimin dhe gjurmimin e nxënësve/</w:t>
            </w:r>
            <w:r>
              <w:rPr>
                <w:rFonts w:ascii="Garamond" w:hAnsi="Garamond"/>
                <w:sz w:val="20"/>
                <w:szCs w:val="20"/>
                <w:lang w:val="sq-AL"/>
              </w:rPr>
              <w:t xml:space="preserve"> </w:t>
            </w:r>
            <w:r w:rsidRPr="00327310">
              <w:rPr>
                <w:rFonts w:ascii="Garamond" w:hAnsi="Garamond"/>
                <w:sz w:val="20"/>
                <w:szCs w:val="20"/>
                <w:lang w:val="sq-AL"/>
              </w:rPr>
              <w:t>kursantëve</w:t>
            </w:r>
            <w:r>
              <w:rPr>
                <w:rFonts w:ascii="Garamond" w:hAnsi="Garamond"/>
                <w:sz w:val="20"/>
                <w:szCs w:val="20"/>
                <w:lang w:val="sq-AL"/>
              </w:rPr>
              <w:t xml:space="preserve"> </w:t>
            </w:r>
            <w:r w:rsidRPr="00327310">
              <w:rPr>
                <w:rFonts w:ascii="Garamond" w:hAnsi="Garamond"/>
                <w:sz w:val="20"/>
                <w:szCs w:val="20"/>
                <w:lang w:val="sq-AL"/>
              </w:rPr>
              <w:t xml:space="preserve">dhe individëve </w:t>
            </w:r>
          </w:p>
        </w:tc>
        <w:tc>
          <w:tcPr>
            <w:tcW w:w="2036" w:type="pct"/>
            <w:gridSpan w:val="2"/>
          </w:tcPr>
          <w:p w14:paraId="5F678954"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1.3.2.1</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krijon dhe mirëmban një sistem të menaxhimit të të dhënave, i cili përmban të gjitha të dhënat që kërkohen nga legjislacioni në fuqi dhe rregullore të tjera. Ky sistem duhet të jetë i lidhur me portalet, platformat mësimore dhe bazat elektronike të të dhënave, të ngritura nga institucionet qendrore, ose duhet të lejojë importimin/eksportimin e të dhënave me to.</w:t>
            </w:r>
          </w:p>
        </w:tc>
        <w:tc>
          <w:tcPr>
            <w:tcW w:w="532" w:type="pct"/>
          </w:tcPr>
          <w:p w14:paraId="220C4A56"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68" w:type="pct"/>
          </w:tcPr>
          <w:p w14:paraId="4C8C9185"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p w14:paraId="47B771B5"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70" w:type="pct"/>
          </w:tcPr>
          <w:p w14:paraId="6392172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768F0A4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16" w:type="pct"/>
          </w:tcPr>
          <w:p w14:paraId="688B5C0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6" w:type="pct"/>
            <w:tcBorders>
              <w:right w:val="double" w:sz="4" w:space="0" w:color="auto"/>
            </w:tcBorders>
          </w:tcPr>
          <w:p w14:paraId="45575988"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BB173C3" w14:textId="77777777" w:rsidTr="00764C61">
        <w:tblPrEx>
          <w:jc w:val="left"/>
        </w:tblPrEx>
        <w:trPr>
          <w:trHeight w:val="20"/>
        </w:trPr>
        <w:tc>
          <w:tcPr>
            <w:tcW w:w="643" w:type="pct"/>
            <w:vMerge/>
            <w:tcBorders>
              <w:left w:val="double" w:sz="4" w:space="0" w:color="auto"/>
            </w:tcBorders>
          </w:tcPr>
          <w:p w14:paraId="388845D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36" w:type="pct"/>
            <w:gridSpan w:val="2"/>
          </w:tcPr>
          <w:p w14:paraId="5EEBAFA1"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bCs/>
                <w:sz w:val="20"/>
                <w:szCs w:val="20"/>
                <w:lang w:val="sq-AL"/>
              </w:rPr>
              <w:t>1.3.2.2</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ka ngritur një sistem të mbledhjes së të dhënave për të gjurmuar të gjithë të diplomuarit, brenda dy vitesh pas diplomimit, si dhe për të realizuar anketime mbi kënaqësinë e grupeve kryesore të interesit </w:t>
            </w:r>
            <w:r w:rsidRPr="00327310">
              <w:rPr>
                <w:rFonts w:ascii="Garamond" w:hAnsi="Garamond"/>
                <w:sz w:val="20"/>
                <w:szCs w:val="20"/>
                <w:lang w:val="sq-AL"/>
              </w:rPr>
              <w:t>(nxënësit/</w:t>
            </w:r>
            <w:r>
              <w:rPr>
                <w:rFonts w:ascii="Garamond" w:hAnsi="Garamond"/>
                <w:sz w:val="20"/>
                <w:szCs w:val="20"/>
                <w:lang w:val="sq-AL"/>
              </w:rPr>
              <w:t xml:space="preserve"> </w:t>
            </w:r>
            <w:r w:rsidRPr="00327310">
              <w:rPr>
                <w:rFonts w:ascii="Garamond" w:hAnsi="Garamond"/>
                <w:sz w:val="20"/>
                <w:szCs w:val="20"/>
                <w:lang w:val="sq-AL"/>
              </w:rPr>
              <w:t>kursantët/</w:t>
            </w:r>
            <w:r>
              <w:rPr>
                <w:rFonts w:ascii="Garamond" w:hAnsi="Garamond"/>
                <w:sz w:val="20"/>
                <w:szCs w:val="20"/>
                <w:lang w:val="sq-AL"/>
              </w:rPr>
              <w:t xml:space="preserve"> </w:t>
            </w:r>
            <w:r w:rsidRPr="00327310">
              <w:rPr>
                <w:rFonts w:ascii="Garamond" w:hAnsi="Garamond"/>
                <w:sz w:val="20"/>
                <w:szCs w:val="20"/>
                <w:lang w:val="sq-AL"/>
              </w:rPr>
              <w:t>individët,</w:t>
            </w:r>
            <w:r>
              <w:rPr>
                <w:rFonts w:ascii="Garamond" w:hAnsi="Garamond"/>
                <w:sz w:val="20"/>
                <w:szCs w:val="20"/>
                <w:lang w:val="sq-AL"/>
              </w:rPr>
              <w:t xml:space="preserve"> </w:t>
            </w:r>
            <w:r w:rsidRPr="00327310">
              <w:rPr>
                <w:rFonts w:ascii="Garamond" w:hAnsi="Garamond"/>
                <w:sz w:val="20"/>
                <w:szCs w:val="20"/>
                <w:lang w:val="sq-AL"/>
              </w:rPr>
              <w:t xml:space="preserve">bizneset, komuniteti/ prindërit, </w:t>
            </w:r>
            <w:r w:rsidRPr="00327310">
              <w:rPr>
                <w:rFonts w:ascii="Garamond" w:hAnsi="Garamond"/>
                <w:bCs/>
                <w:sz w:val="20"/>
                <w:szCs w:val="20"/>
                <w:lang w:val="sq-AL"/>
              </w:rPr>
              <w:t>i cili është funksional</w:t>
            </w:r>
          </w:p>
        </w:tc>
        <w:tc>
          <w:tcPr>
            <w:tcW w:w="532" w:type="pct"/>
          </w:tcPr>
          <w:p w14:paraId="12BD969F"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68" w:type="pct"/>
          </w:tcPr>
          <w:p w14:paraId="0E481128"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p w14:paraId="7DC6D244"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70" w:type="pct"/>
          </w:tcPr>
          <w:p w14:paraId="4F7D776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16" w:type="pct"/>
          </w:tcPr>
          <w:p w14:paraId="1B59CE0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5F41E42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6" w:type="pct"/>
            <w:tcBorders>
              <w:right w:val="double" w:sz="4" w:space="0" w:color="auto"/>
            </w:tcBorders>
          </w:tcPr>
          <w:p w14:paraId="7DDB2899"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6728021C" w14:textId="77777777" w:rsidTr="00764C61">
        <w:tblPrEx>
          <w:jc w:val="left"/>
        </w:tblPrEx>
        <w:trPr>
          <w:trHeight w:val="20"/>
        </w:trPr>
        <w:tc>
          <w:tcPr>
            <w:tcW w:w="643" w:type="pct"/>
            <w:vMerge/>
            <w:tcBorders>
              <w:left w:val="double" w:sz="4" w:space="0" w:color="auto"/>
            </w:tcBorders>
          </w:tcPr>
          <w:p w14:paraId="41B2D52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36" w:type="pct"/>
            <w:gridSpan w:val="2"/>
          </w:tcPr>
          <w:p w14:paraId="04A941A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1.3.2.3</w:t>
            </w:r>
            <w:r>
              <w:rPr>
                <w:rFonts w:ascii="Garamond" w:hAnsi="Garamond"/>
                <w:sz w:val="20"/>
                <w:szCs w:val="20"/>
                <w:lang w:val="sq-AL"/>
              </w:rPr>
              <w:t xml:space="preserve"> (*)</w:t>
            </w:r>
            <w:r w:rsidRPr="00327310">
              <w:rPr>
                <w:rFonts w:ascii="Garamond" w:hAnsi="Garamond"/>
                <w:bCs/>
                <w:sz w:val="20"/>
                <w:szCs w:val="20"/>
                <w:lang w:val="sq-AL"/>
              </w:rPr>
              <w:t xml:space="preserve"> </w:t>
            </w:r>
            <w:r w:rsidRPr="00327310">
              <w:rPr>
                <w:rFonts w:ascii="Garamond" w:hAnsi="Garamond"/>
                <w:sz w:val="20"/>
                <w:szCs w:val="20"/>
                <w:lang w:val="sq-AL"/>
              </w:rPr>
              <w:t>Sistemi për menaxhimin e të dhënave përmban të gjitha të dhënat dhe informacionin e nevojshëm për funksionimin e institucionit, si dhe për raportimin në nivel kombëtar dhe vendor, duke përfshirë të dhëna për rezultatet e vetëvlerësimit, monitorimit dhe vlerësimit të jashtëm për (ri)akreditimin.</w:t>
            </w:r>
          </w:p>
        </w:tc>
        <w:tc>
          <w:tcPr>
            <w:tcW w:w="532" w:type="pct"/>
          </w:tcPr>
          <w:p w14:paraId="6C481B0D"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68" w:type="pct"/>
          </w:tcPr>
          <w:p w14:paraId="25429FD6"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p w14:paraId="07FA8D9E"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70" w:type="pct"/>
          </w:tcPr>
          <w:p w14:paraId="321794B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16" w:type="pct"/>
          </w:tcPr>
          <w:p w14:paraId="4DB0A0F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0C1C334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6" w:type="pct"/>
            <w:tcBorders>
              <w:right w:val="double" w:sz="4" w:space="0" w:color="auto"/>
            </w:tcBorders>
          </w:tcPr>
          <w:p w14:paraId="30E89EF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3225116" w14:textId="77777777" w:rsidTr="00764C61">
        <w:tblPrEx>
          <w:jc w:val="left"/>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084" w:type="pct"/>
            <w:gridSpan w:val="2"/>
            <w:tcBorders>
              <w:top w:val="double" w:sz="4" w:space="0" w:color="auto"/>
            </w:tcBorders>
          </w:tcPr>
          <w:p w14:paraId="04E5E0D7"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3916" w:type="pct"/>
            <w:gridSpan w:val="6"/>
            <w:tcBorders>
              <w:top w:val="double" w:sz="4" w:space="0" w:color="auto"/>
            </w:tcBorders>
          </w:tcPr>
          <w:p w14:paraId="01EF4478"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bl>
    <w:p w14:paraId="668D9A40" w14:textId="77777777" w:rsidR="008412F5" w:rsidRPr="00327310" w:rsidRDefault="008412F5" w:rsidP="008412F5">
      <w:pPr>
        <w:pStyle w:val="ListParagraph"/>
        <w:ind w:firstLine="284"/>
        <w:jc w:val="both"/>
        <w:rPr>
          <w:rFonts w:ascii="Garamond" w:hAnsi="Garamond"/>
          <w:b/>
          <w:bCs/>
          <w:sz w:val="24"/>
          <w:szCs w:val="24"/>
          <w:lang w:val="sq-AL"/>
        </w:rPr>
      </w:pPr>
      <w:r w:rsidRPr="00327310">
        <w:rPr>
          <w:rFonts w:ascii="Garamond" w:hAnsi="Garamond"/>
          <w:b/>
          <w:bCs/>
          <w:sz w:val="24"/>
          <w:szCs w:val="24"/>
          <w:lang w:val="sq-AL"/>
        </w:rPr>
        <w:lastRenderedPageBreak/>
        <w:t xml:space="preserve">Nënfusha 1.4 </w:t>
      </w:r>
      <w:bookmarkStart w:id="5" w:name="_Toc44689553"/>
      <w:r w:rsidRPr="00327310">
        <w:rPr>
          <w:rFonts w:ascii="Garamond" w:hAnsi="Garamond"/>
          <w:b/>
          <w:bCs/>
          <w:sz w:val="24"/>
          <w:szCs w:val="24"/>
          <w:lang w:val="sq-AL"/>
        </w:rPr>
        <w:t xml:space="preserve">Vetëvlerësimi/vlerësimi i brendshëm i ofruesit të </w:t>
      </w:r>
      <w:bookmarkEnd w:id="5"/>
      <w:r w:rsidRPr="00327310">
        <w:rPr>
          <w:rFonts w:ascii="Garamond" w:hAnsi="Garamond"/>
          <w:b/>
          <w:bCs/>
          <w:sz w:val="24"/>
          <w:szCs w:val="24"/>
          <w:lang w:val="sq-AL"/>
        </w:rPr>
        <w:t>AFP-së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5611"/>
        <w:gridCol w:w="1368"/>
        <w:gridCol w:w="1368"/>
        <w:gridCol w:w="1368"/>
        <w:gridCol w:w="1198"/>
        <w:gridCol w:w="1252"/>
      </w:tblGrid>
      <w:tr w:rsidR="008412F5" w:rsidRPr="00327310" w14:paraId="581B3A96" w14:textId="77777777" w:rsidTr="00764C61">
        <w:trPr>
          <w:trHeight w:val="20"/>
          <w:jc w:val="center"/>
        </w:trPr>
        <w:tc>
          <w:tcPr>
            <w:tcW w:w="636" w:type="pct"/>
            <w:tcBorders>
              <w:top w:val="double" w:sz="4" w:space="0" w:color="auto"/>
              <w:left w:val="double" w:sz="4" w:space="0" w:color="auto"/>
            </w:tcBorders>
            <w:shd w:val="clear" w:color="auto" w:fill="D9D9D9" w:themeFill="background1" w:themeFillShade="D9"/>
            <w:vAlign w:val="center"/>
          </w:tcPr>
          <w:p w14:paraId="61637140"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2017" w:type="pct"/>
            <w:tcBorders>
              <w:top w:val="double" w:sz="4" w:space="0" w:color="auto"/>
            </w:tcBorders>
            <w:shd w:val="clear" w:color="auto" w:fill="D9D9D9" w:themeFill="background1" w:themeFillShade="D9"/>
            <w:vAlign w:val="center"/>
          </w:tcPr>
          <w:p w14:paraId="3EFC829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494" w:type="pct"/>
            <w:tcBorders>
              <w:top w:val="double" w:sz="4" w:space="0" w:color="auto"/>
            </w:tcBorders>
            <w:shd w:val="clear" w:color="auto" w:fill="D9D9D9" w:themeFill="background1" w:themeFillShade="D9"/>
            <w:vAlign w:val="center"/>
          </w:tcPr>
          <w:p w14:paraId="782A8244"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11D45960"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1A75764B"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94" w:type="pct"/>
            <w:tcBorders>
              <w:top w:val="double" w:sz="4" w:space="0" w:color="auto"/>
            </w:tcBorders>
            <w:shd w:val="clear" w:color="auto" w:fill="D9D9D9" w:themeFill="background1" w:themeFillShade="D9"/>
            <w:vAlign w:val="center"/>
          </w:tcPr>
          <w:p w14:paraId="2747DA7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494" w:type="pct"/>
            <w:tcBorders>
              <w:top w:val="double" w:sz="4" w:space="0" w:color="auto"/>
            </w:tcBorders>
            <w:shd w:val="clear" w:color="auto" w:fill="D9D9D9" w:themeFill="background1" w:themeFillShade="D9"/>
            <w:vAlign w:val="center"/>
          </w:tcPr>
          <w:p w14:paraId="0A95AC94"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33" w:type="pct"/>
            <w:tcBorders>
              <w:top w:val="double" w:sz="4" w:space="0" w:color="auto"/>
            </w:tcBorders>
            <w:shd w:val="clear" w:color="auto" w:fill="D9D9D9" w:themeFill="background1" w:themeFillShade="D9"/>
            <w:vAlign w:val="center"/>
          </w:tcPr>
          <w:p w14:paraId="2B0A61F7"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32" w:type="pct"/>
            <w:tcBorders>
              <w:top w:val="double" w:sz="4" w:space="0" w:color="auto"/>
              <w:right w:val="double" w:sz="4" w:space="0" w:color="auto"/>
            </w:tcBorders>
            <w:shd w:val="clear" w:color="auto" w:fill="D9D9D9" w:themeFill="background1" w:themeFillShade="D9"/>
            <w:vAlign w:val="center"/>
          </w:tcPr>
          <w:p w14:paraId="485CFD0C"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326497AB"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4B6570B0" w14:textId="77777777" w:rsidTr="00764C61">
        <w:tblPrEx>
          <w:jc w:val="left"/>
        </w:tblPrEx>
        <w:trPr>
          <w:trHeight w:val="20"/>
        </w:trPr>
        <w:tc>
          <w:tcPr>
            <w:tcW w:w="636" w:type="pct"/>
            <w:vMerge w:val="restart"/>
            <w:tcBorders>
              <w:left w:val="double" w:sz="4" w:space="0" w:color="auto"/>
            </w:tcBorders>
          </w:tcPr>
          <w:p w14:paraId="27A3609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1.4.1 Veprimtaritë dhe raportet vjetore të vetëvlerësimit</w:t>
            </w:r>
          </w:p>
        </w:tc>
        <w:tc>
          <w:tcPr>
            <w:tcW w:w="2017" w:type="pct"/>
          </w:tcPr>
          <w:p w14:paraId="41BC4682"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1.4.1.1</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garanton krijimin e njësisë së zhvillimit (ose të një strukture të ngjashme përgjegjëse për sigurimin e cilësisë) dhe hartimin e miratimin e rregullores së brendshme të funksionimit të saj.</w:t>
            </w:r>
          </w:p>
        </w:tc>
        <w:tc>
          <w:tcPr>
            <w:tcW w:w="494" w:type="pct"/>
          </w:tcPr>
          <w:p w14:paraId="6EE9CD07"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94" w:type="pct"/>
          </w:tcPr>
          <w:p w14:paraId="1A6B83A6"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94" w:type="pct"/>
          </w:tcPr>
          <w:p w14:paraId="29A645C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6ACEDDC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Pr>
          <w:p w14:paraId="1D1EB48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2" w:type="pct"/>
            <w:tcBorders>
              <w:right w:val="double" w:sz="4" w:space="0" w:color="auto"/>
            </w:tcBorders>
          </w:tcPr>
          <w:p w14:paraId="3E011A94"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36CC0C55" w14:textId="77777777" w:rsidTr="00764C61">
        <w:tblPrEx>
          <w:jc w:val="left"/>
        </w:tblPrEx>
        <w:trPr>
          <w:trHeight w:val="20"/>
        </w:trPr>
        <w:tc>
          <w:tcPr>
            <w:tcW w:w="636" w:type="pct"/>
            <w:vMerge/>
          </w:tcPr>
          <w:p w14:paraId="0DA0F06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17" w:type="pct"/>
          </w:tcPr>
          <w:p w14:paraId="72323D95"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1.4.1.2 (*) Njësia e zhvillimit e ofruesit të AFP-së (ose struktura përgjegjëse për sigurimin e cilësisë) harton planin e vetëvlerësimit, i cili përmban: veprimtaritë e vetëvlerësimit, instrumentet, afatet kohore për mbledhjen dhe raportimin e të dhënave, si dhe përgjegjësitë.</w:t>
            </w:r>
          </w:p>
        </w:tc>
        <w:tc>
          <w:tcPr>
            <w:tcW w:w="494" w:type="pct"/>
          </w:tcPr>
          <w:p w14:paraId="0C716B8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7635D66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0A6F238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Pr>
          <w:p w14:paraId="64B1EFE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2" w:type="pct"/>
            <w:tcBorders>
              <w:right w:val="double" w:sz="4" w:space="0" w:color="auto"/>
            </w:tcBorders>
          </w:tcPr>
          <w:p w14:paraId="194CEA7A"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67C51541" w14:textId="77777777" w:rsidTr="00764C61">
        <w:tblPrEx>
          <w:jc w:val="left"/>
        </w:tblPrEx>
        <w:trPr>
          <w:trHeight w:val="20"/>
        </w:trPr>
        <w:tc>
          <w:tcPr>
            <w:tcW w:w="636" w:type="pct"/>
            <w:vMerge/>
          </w:tcPr>
          <w:p w14:paraId="4D01F3B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17" w:type="pct"/>
          </w:tcPr>
          <w:p w14:paraId="5EEEACD5"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1.4.1.3</w:t>
            </w:r>
            <w:r>
              <w:rPr>
                <w:rFonts w:ascii="Garamond" w:hAnsi="Garamond"/>
                <w:bCs/>
                <w:sz w:val="20"/>
                <w:szCs w:val="20"/>
                <w:lang w:val="sq-AL"/>
              </w:rPr>
              <w:t xml:space="preserve"> (*)</w:t>
            </w:r>
            <w:r w:rsidRPr="00327310">
              <w:rPr>
                <w:rFonts w:ascii="Garamond" w:hAnsi="Garamond"/>
                <w:bCs/>
                <w:sz w:val="20"/>
                <w:szCs w:val="20"/>
                <w:lang w:val="sq-AL"/>
              </w:rPr>
              <w:t xml:space="preserve"> Ofruesi i AFP-së përgatit raportin vjetor të vetëvlerësimit, sipas formatit në shtojcën e kësaj rregulloreje.</w:t>
            </w:r>
          </w:p>
        </w:tc>
        <w:tc>
          <w:tcPr>
            <w:tcW w:w="494" w:type="pct"/>
          </w:tcPr>
          <w:p w14:paraId="056957ED"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355ECBD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10BE6EB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Pr>
          <w:p w14:paraId="74AA2F2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3FDEFE3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2" w:type="pct"/>
            <w:tcBorders>
              <w:right w:val="double" w:sz="4" w:space="0" w:color="auto"/>
            </w:tcBorders>
          </w:tcPr>
          <w:p w14:paraId="68CBA6A6"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11F59E2" w14:textId="77777777" w:rsidTr="00764C61">
        <w:tblPrEx>
          <w:jc w:val="left"/>
        </w:tblPrEx>
        <w:trPr>
          <w:trHeight w:val="20"/>
        </w:trPr>
        <w:tc>
          <w:tcPr>
            <w:tcW w:w="636" w:type="pct"/>
            <w:vMerge/>
          </w:tcPr>
          <w:p w14:paraId="0ECD4E7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17" w:type="pct"/>
          </w:tcPr>
          <w:p w14:paraId="7548A5C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1.4.1.4</w:t>
            </w:r>
            <w:r>
              <w:rPr>
                <w:rFonts w:ascii="Garamond" w:hAnsi="Garamond"/>
                <w:bCs/>
                <w:sz w:val="20"/>
                <w:szCs w:val="20"/>
                <w:lang w:val="sq-AL"/>
              </w:rPr>
              <w:t xml:space="preserve"> (*)</w:t>
            </w:r>
            <w:r w:rsidRPr="00327310">
              <w:rPr>
                <w:rFonts w:ascii="Garamond" w:hAnsi="Garamond"/>
                <w:bCs/>
                <w:sz w:val="20"/>
                <w:szCs w:val="20"/>
                <w:lang w:val="sq-AL"/>
              </w:rPr>
              <w:t xml:space="preserve"> Raporti vjetor i vetëvlerësimit miratohet nga bordi apo organi drejtues i ofruesit të AFP-së, sipas formatit të përcaktuar, dhe publikohet në faqen e internetit të ofruesit të AFP-së dhe/ose në media.</w:t>
            </w:r>
          </w:p>
        </w:tc>
        <w:tc>
          <w:tcPr>
            <w:tcW w:w="494" w:type="pct"/>
          </w:tcPr>
          <w:p w14:paraId="7F0D1FC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358A118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0CD047D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Pr>
          <w:p w14:paraId="2D6088A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2" w:type="pct"/>
            <w:tcBorders>
              <w:right w:val="double" w:sz="4" w:space="0" w:color="auto"/>
            </w:tcBorders>
          </w:tcPr>
          <w:p w14:paraId="6B673313"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8A2D2E4" w14:textId="77777777" w:rsidTr="00764C61">
        <w:tblPrEx>
          <w:jc w:val="left"/>
        </w:tblPrEx>
        <w:trPr>
          <w:trHeight w:val="20"/>
        </w:trPr>
        <w:tc>
          <w:tcPr>
            <w:tcW w:w="636" w:type="pct"/>
            <w:vMerge w:val="restart"/>
            <w:tcBorders>
              <w:left w:val="double" w:sz="4" w:space="0" w:color="auto"/>
            </w:tcBorders>
          </w:tcPr>
          <w:p w14:paraId="5AC8283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1.4.2 Zbatimi i planit të përmirësimit bazuar në rezultatet e vetëvlerësimit</w:t>
            </w:r>
          </w:p>
        </w:tc>
        <w:tc>
          <w:tcPr>
            <w:tcW w:w="2017" w:type="pct"/>
          </w:tcPr>
          <w:p w14:paraId="4BBB9C3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1.4.2.1</w:t>
            </w:r>
            <w:r w:rsidRPr="00327310">
              <w:rPr>
                <w:rFonts w:ascii="Garamond" w:hAnsi="Garamond"/>
                <w:sz w:val="20"/>
                <w:szCs w:val="20"/>
                <w:lang w:val="sq-AL"/>
              </w:rPr>
              <w:t xml:space="preserve"> </w:t>
            </w:r>
            <w:r w:rsidRPr="00327310">
              <w:rPr>
                <w:rFonts w:ascii="Garamond" w:hAnsi="Garamond"/>
                <w:bCs/>
                <w:sz w:val="20"/>
                <w:szCs w:val="20"/>
                <w:lang w:val="sq-AL"/>
              </w:rPr>
              <w:t>(*) Njësia e zhvillimit e ofruesit të AFP-së (ose struktura përgjegjëse për sigurimin e cilësisë) përgatit planin e përmirësimit të cilësisë me objektivat, instrumentet, afatet kohore dhe përgjegjësitë.</w:t>
            </w:r>
          </w:p>
        </w:tc>
        <w:tc>
          <w:tcPr>
            <w:tcW w:w="494" w:type="pct"/>
          </w:tcPr>
          <w:p w14:paraId="7765132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7B9D380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597A610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Pr>
          <w:p w14:paraId="46E9C56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1145E0AD"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2" w:type="pct"/>
            <w:tcBorders>
              <w:right w:val="double" w:sz="4" w:space="0" w:color="auto"/>
            </w:tcBorders>
          </w:tcPr>
          <w:p w14:paraId="40C8F66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665166E1" w14:textId="77777777" w:rsidTr="00764C61">
        <w:trPr>
          <w:trHeight w:val="20"/>
          <w:jc w:val="center"/>
        </w:trPr>
        <w:tc>
          <w:tcPr>
            <w:tcW w:w="636" w:type="pct"/>
            <w:vMerge/>
          </w:tcPr>
          <w:p w14:paraId="19817B7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17" w:type="pct"/>
          </w:tcPr>
          <w:p w14:paraId="176ABA8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1.4.2.2 </w:t>
            </w:r>
            <w:r w:rsidRPr="00327310">
              <w:rPr>
                <w:rFonts w:ascii="Garamond" w:hAnsi="Garamond"/>
                <w:bCs/>
                <w:sz w:val="20"/>
                <w:szCs w:val="20"/>
                <w:lang w:val="sq-AL"/>
              </w:rPr>
              <w:t xml:space="preserve">(*) </w:t>
            </w:r>
            <w:r w:rsidRPr="00327310">
              <w:rPr>
                <w:rFonts w:ascii="Garamond" w:hAnsi="Garamond"/>
                <w:sz w:val="20"/>
                <w:szCs w:val="20"/>
                <w:lang w:val="sq-AL"/>
              </w:rPr>
              <w:t>Plani i përmirësimit të cilësisë bazohet në të dhënat e mbledhura, rekomandimet dhe rezultatet pas procesit të vetëvlerësimit.</w:t>
            </w:r>
          </w:p>
        </w:tc>
        <w:tc>
          <w:tcPr>
            <w:tcW w:w="494" w:type="pct"/>
          </w:tcPr>
          <w:p w14:paraId="7482CA9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58A4201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2B6FBC3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Pr>
          <w:p w14:paraId="78955E9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2" w:type="pct"/>
            <w:tcBorders>
              <w:right w:val="double" w:sz="4" w:space="0" w:color="auto"/>
            </w:tcBorders>
          </w:tcPr>
          <w:p w14:paraId="155B301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1570A9FF" w14:textId="77777777" w:rsidTr="00764C61">
        <w:tblPrEx>
          <w:jc w:val="left"/>
        </w:tblPrEx>
        <w:trPr>
          <w:trHeight w:val="20"/>
        </w:trPr>
        <w:tc>
          <w:tcPr>
            <w:tcW w:w="636" w:type="pct"/>
            <w:vMerge/>
          </w:tcPr>
          <w:p w14:paraId="5BE4B53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17" w:type="pct"/>
            <w:tcBorders>
              <w:bottom w:val="double" w:sz="4" w:space="0" w:color="auto"/>
            </w:tcBorders>
          </w:tcPr>
          <w:p w14:paraId="70097D0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1.4.2.3</w:t>
            </w:r>
            <w:r>
              <w:rPr>
                <w:rFonts w:ascii="Garamond" w:hAnsi="Garamond"/>
                <w:bCs/>
                <w:sz w:val="20"/>
                <w:szCs w:val="20"/>
                <w:lang w:val="sq-AL"/>
              </w:rPr>
              <w:t xml:space="preserve"> (*)</w:t>
            </w:r>
            <w:r w:rsidRPr="00327310">
              <w:rPr>
                <w:rFonts w:ascii="Garamond" w:hAnsi="Garamond"/>
                <w:bCs/>
                <w:sz w:val="20"/>
                <w:szCs w:val="20"/>
                <w:lang w:val="sq-AL"/>
              </w:rPr>
              <w:t xml:space="preserve"> Veprimtaritë e vazhdueshme të planit të përmirësimit të cilësisë janë përfshirë në planin vjetor aktual dhe sipas rastit, në planin afatmesëm.</w:t>
            </w:r>
          </w:p>
        </w:tc>
        <w:tc>
          <w:tcPr>
            <w:tcW w:w="494" w:type="pct"/>
            <w:tcBorders>
              <w:bottom w:val="double" w:sz="4" w:space="0" w:color="auto"/>
            </w:tcBorders>
          </w:tcPr>
          <w:p w14:paraId="370FA67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bottom w:val="double" w:sz="4" w:space="0" w:color="auto"/>
            </w:tcBorders>
          </w:tcPr>
          <w:p w14:paraId="6E72843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double" w:sz="4" w:space="0" w:color="auto"/>
            </w:tcBorders>
          </w:tcPr>
          <w:p w14:paraId="3A4803E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bottom w:val="double" w:sz="4" w:space="0" w:color="auto"/>
            </w:tcBorders>
          </w:tcPr>
          <w:p w14:paraId="77CABCE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2" w:type="pct"/>
            <w:tcBorders>
              <w:bottom w:val="double" w:sz="4" w:space="0" w:color="auto"/>
              <w:right w:val="double" w:sz="4" w:space="0" w:color="auto"/>
            </w:tcBorders>
          </w:tcPr>
          <w:p w14:paraId="37BE2A7C" w14:textId="77777777" w:rsidR="008412F5" w:rsidRPr="00327310" w:rsidRDefault="008412F5" w:rsidP="00764C61">
            <w:pPr>
              <w:pStyle w:val="ListParagraph"/>
              <w:spacing w:after="0" w:line="240" w:lineRule="auto"/>
              <w:ind w:left="0"/>
              <w:rPr>
                <w:rFonts w:ascii="Garamond" w:hAnsi="Garamond"/>
                <w:sz w:val="20"/>
                <w:szCs w:val="20"/>
                <w:lang w:val="sq-AL"/>
              </w:rPr>
            </w:pPr>
          </w:p>
        </w:tc>
      </w:tr>
    </w:tbl>
    <w:p w14:paraId="1E365209" w14:textId="77777777" w:rsidR="008412F5" w:rsidRPr="00327310" w:rsidRDefault="008412F5" w:rsidP="008412F5">
      <w:pPr>
        <w:pStyle w:val="ListParagraph"/>
        <w:ind w:firstLine="284"/>
        <w:jc w:val="both"/>
        <w:rPr>
          <w:rFonts w:ascii="Garamond" w:hAnsi="Garamond"/>
          <w:sz w:val="24"/>
          <w:szCs w:val="24"/>
          <w:lang w:val="sq-AL"/>
        </w:rPr>
      </w:pPr>
    </w:p>
    <w:p w14:paraId="24F5F82A" w14:textId="77777777" w:rsidR="008412F5" w:rsidRDefault="008412F5" w:rsidP="008412F5">
      <w:pPr>
        <w:pStyle w:val="ListParagraph"/>
        <w:ind w:firstLine="284"/>
        <w:jc w:val="both"/>
        <w:rPr>
          <w:rFonts w:ascii="Garamond" w:hAnsi="Garamond"/>
          <w:b/>
          <w:bCs/>
          <w:sz w:val="24"/>
          <w:szCs w:val="24"/>
          <w:lang w:val="sq-AL"/>
        </w:rPr>
      </w:pPr>
      <w:bookmarkStart w:id="6" w:name="_Toc44689554"/>
    </w:p>
    <w:p w14:paraId="0B3E3562" w14:textId="77777777" w:rsidR="008412F5" w:rsidRDefault="008412F5" w:rsidP="008412F5">
      <w:pPr>
        <w:pStyle w:val="ListParagraph"/>
        <w:ind w:firstLine="284"/>
        <w:jc w:val="both"/>
        <w:rPr>
          <w:rFonts w:ascii="Garamond" w:hAnsi="Garamond"/>
          <w:b/>
          <w:bCs/>
          <w:sz w:val="24"/>
          <w:szCs w:val="24"/>
          <w:lang w:val="sq-AL"/>
        </w:rPr>
      </w:pPr>
    </w:p>
    <w:p w14:paraId="6C92A712" w14:textId="77777777" w:rsidR="008412F5" w:rsidRDefault="008412F5" w:rsidP="008412F5">
      <w:pPr>
        <w:pStyle w:val="ListParagraph"/>
        <w:ind w:firstLine="284"/>
        <w:jc w:val="both"/>
        <w:rPr>
          <w:rFonts w:ascii="Garamond" w:hAnsi="Garamond"/>
          <w:b/>
          <w:bCs/>
          <w:sz w:val="24"/>
          <w:szCs w:val="24"/>
          <w:lang w:val="sq-AL"/>
        </w:rPr>
      </w:pPr>
    </w:p>
    <w:p w14:paraId="51205FC4" w14:textId="77777777" w:rsidR="008412F5" w:rsidRDefault="008412F5" w:rsidP="008412F5">
      <w:pPr>
        <w:pStyle w:val="ListParagraph"/>
        <w:ind w:firstLine="284"/>
        <w:jc w:val="both"/>
        <w:rPr>
          <w:rFonts w:ascii="Garamond" w:hAnsi="Garamond"/>
          <w:b/>
          <w:bCs/>
          <w:sz w:val="24"/>
          <w:szCs w:val="24"/>
          <w:lang w:val="sq-AL"/>
        </w:rPr>
      </w:pPr>
    </w:p>
    <w:p w14:paraId="6206B05A" w14:textId="77777777" w:rsidR="008412F5" w:rsidRPr="00327310" w:rsidRDefault="008412F5" w:rsidP="008412F5">
      <w:pPr>
        <w:pStyle w:val="ListParagraph"/>
        <w:ind w:firstLine="284"/>
        <w:jc w:val="both"/>
        <w:rPr>
          <w:rFonts w:ascii="Garamond" w:hAnsi="Garamond"/>
          <w:b/>
          <w:bCs/>
          <w:sz w:val="24"/>
          <w:szCs w:val="24"/>
          <w:lang w:val="sq-AL"/>
        </w:rPr>
      </w:pPr>
      <w:r w:rsidRPr="00327310">
        <w:rPr>
          <w:rFonts w:ascii="Garamond" w:hAnsi="Garamond"/>
          <w:b/>
          <w:bCs/>
          <w:sz w:val="24"/>
          <w:szCs w:val="24"/>
          <w:lang w:val="sq-AL"/>
        </w:rPr>
        <w:lastRenderedPageBreak/>
        <w:t>Nënfusha 1.5 Menaxhimi i burimeve njerëzore dhe zhvillimi profesional i stafit</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5585"/>
        <w:gridCol w:w="1368"/>
        <w:gridCol w:w="1369"/>
        <w:gridCol w:w="1369"/>
        <w:gridCol w:w="1199"/>
        <w:gridCol w:w="1252"/>
      </w:tblGrid>
      <w:tr w:rsidR="008412F5" w:rsidRPr="00327310" w14:paraId="1BEBD0BA" w14:textId="77777777" w:rsidTr="00764C61">
        <w:trPr>
          <w:trHeight w:val="20"/>
          <w:jc w:val="center"/>
        </w:trPr>
        <w:tc>
          <w:tcPr>
            <w:tcW w:w="644" w:type="pct"/>
            <w:tcBorders>
              <w:top w:val="double" w:sz="4" w:space="0" w:color="auto"/>
              <w:left w:val="double" w:sz="4" w:space="0" w:color="auto"/>
              <w:bottom w:val="double" w:sz="4" w:space="0" w:color="auto"/>
            </w:tcBorders>
            <w:shd w:val="clear" w:color="auto" w:fill="D9D9D9" w:themeFill="background1" w:themeFillShade="D9"/>
            <w:vAlign w:val="center"/>
          </w:tcPr>
          <w:p w14:paraId="35A857D8"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2008" w:type="pct"/>
            <w:tcBorders>
              <w:top w:val="double" w:sz="4" w:space="0" w:color="auto"/>
              <w:bottom w:val="double" w:sz="4" w:space="0" w:color="auto"/>
            </w:tcBorders>
            <w:shd w:val="clear" w:color="auto" w:fill="D9D9D9" w:themeFill="background1" w:themeFillShade="D9"/>
            <w:vAlign w:val="center"/>
          </w:tcPr>
          <w:p w14:paraId="163EC992"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494" w:type="pct"/>
            <w:tcBorders>
              <w:top w:val="double" w:sz="4" w:space="0" w:color="auto"/>
              <w:bottom w:val="double" w:sz="4" w:space="0" w:color="auto"/>
            </w:tcBorders>
            <w:shd w:val="clear" w:color="auto" w:fill="D9D9D9" w:themeFill="background1" w:themeFillShade="D9"/>
            <w:vAlign w:val="center"/>
          </w:tcPr>
          <w:p w14:paraId="01C7A030"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6259031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0BD959CA"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94" w:type="pct"/>
            <w:tcBorders>
              <w:top w:val="double" w:sz="4" w:space="0" w:color="auto"/>
              <w:bottom w:val="double" w:sz="4" w:space="0" w:color="auto"/>
            </w:tcBorders>
            <w:shd w:val="clear" w:color="auto" w:fill="D9D9D9" w:themeFill="background1" w:themeFillShade="D9"/>
            <w:vAlign w:val="center"/>
          </w:tcPr>
          <w:p w14:paraId="2C56543B"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494" w:type="pct"/>
            <w:tcBorders>
              <w:top w:val="double" w:sz="4" w:space="0" w:color="auto"/>
              <w:bottom w:val="double" w:sz="4" w:space="0" w:color="auto"/>
            </w:tcBorders>
            <w:shd w:val="clear" w:color="auto" w:fill="D9D9D9" w:themeFill="background1" w:themeFillShade="D9"/>
            <w:vAlign w:val="center"/>
          </w:tcPr>
          <w:p w14:paraId="06EA179B"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33" w:type="pct"/>
            <w:tcBorders>
              <w:top w:val="double" w:sz="4" w:space="0" w:color="auto"/>
              <w:bottom w:val="double" w:sz="4" w:space="0" w:color="auto"/>
            </w:tcBorders>
            <w:shd w:val="clear" w:color="auto" w:fill="D9D9D9" w:themeFill="background1" w:themeFillShade="D9"/>
            <w:vAlign w:val="center"/>
          </w:tcPr>
          <w:p w14:paraId="5D984350"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33" w:type="pct"/>
            <w:tcBorders>
              <w:top w:val="double" w:sz="4" w:space="0" w:color="auto"/>
              <w:bottom w:val="double" w:sz="4" w:space="0" w:color="auto"/>
              <w:right w:val="double" w:sz="4" w:space="0" w:color="auto"/>
            </w:tcBorders>
            <w:shd w:val="clear" w:color="auto" w:fill="D9D9D9" w:themeFill="background1" w:themeFillShade="D9"/>
            <w:vAlign w:val="center"/>
          </w:tcPr>
          <w:p w14:paraId="355B4222"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0904E5A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093D5330" w14:textId="77777777" w:rsidTr="00764C61">
        <w:tblPrEx>
          <w:jc w:val="left"/>
        </w:tblPrEx>
        <w:trPr>
          <w:trHeight w:val="20"/>
        </w:trPr>
        <w:tc>
          <w:tcPr>
            <w:tcW w:w="644" w:type="pct"/>
            <w:vMerge w:val="restart"/>
            <w:tcBorders>
              <w:top w:val="double" w:sz="4" w:space="0" w:color="auto"/>
              <w:left w:val="double" w:sz="4" w:space="0" w:color="auto"/>
            </w:tcBorders>
          </w:tcPr>
          <w:p w14:paraId="40B32FD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1.5.1 Procedurat për menaxhimin e burimeve njerëzore dhe zbatimi i tyre</w:t>
            </w:r>
          </w:p>
        </w:tc>
        <w:tc>
          <w:tcPr>
            <w:tcW w:w="2008" w:type="pct"/>
            <w:tcBorders>
              <w:top w:val="double" w:sz="4" w:space="0" w:color="auto"/>
            </w:tcBorders>
          </w:tcPr>
          <w:p w14:paraId="353FDEEB"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1.5.1.1</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ka një strukturë organizative ku paraqiten në mënyrë të qartë linjat e vendimmarrjes, të komunikimit dhe të raportimit, si dhe të gjitha strukturat drejtuese dhe funksionale të përcaktuara me ligj.</w:t>
            </w:r>
          </w:p>
        </w:tc>
        <w:tc>
          <w:tcPr>
            <w:tcW w:w="494" w:type="pct"/>
            <w:tcBorders>
              <w:top w:val="double" w:sz="4" w:space="0" w:color="auto"/>
            </w:tcBorders>
          </w:tcPr>
          <w:p w14:paraId="6E57A899"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w:t>
            </w:r>
          </w:p>
        </w:tc>
        <w:tc>
          <w:tcPr>
            <w:tcW w:w="494" w:type="pct"/>
            <w:tcBorders>
              <w:top w:val="double" w:sz="4" w:space="0" w:color="auto"/>
            </w:tcBorders>
          </w:tcPr>
          <w:p w14:paraId="33EBDD82"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w:t>
            </w:r>
          </w:p>
        </w:tc>
        <w:tc>
          <w:tcPr>
            <w:tcW w:w="494" w:type="pct"/>
            <w:tcBorders>
              <w:top w:val="double" w:sz="4" w:space="0" w:color="auto"/>
            </w:tcBorders>
          </w:tcPr>
          <w:p w14:paraId="7A9D9BAA"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w:t>
            </w:r>
          </w:p>
        </w:tc>
        <w:tc>
          <w:tcPr>
            <w:tcW w:w="433" w:type="pct"/>
            <w:tcBorders>
              <w:top w:val="double" w:sz="4" w:space="0" w:color="auto"/>
            </w:tcBorders>
          </w:tcPr>
          <w:p w14:paraId="0B69C7FD"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w:t>
            </w:r>
          </w:p>
        </w:tc>
        <w:tc>
          <w:tcPr>
            <w:tcW w:w="433" w:type="pct"/>
            <w:tcBorders>
              <w:top w:val="double" w:sz="4" w:space="0" w:color="auto"/>
              <w:right w:val="double" w:sz="4" w:space="0" w:color="auto"/>
            </w:tcBorders>
          </w:tcPr>
          <w:p w14:paraId="7429F8DE"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113BE76" w14:textId="77777777" w:rsidTr="00764C61">
        <w:tblPrEx>
          <w:jc w:val="left"/>
        </w:tblPrEx>
        <w:trPr>
          <w:trHeight w:val="20"/>
        </w:trPr>
        <w:tc>
          <w:tcPr>
            <w:tcW w:w="644" w:type="pct"/>
            <w:vMerge/>
            <w:tcBorders>
              <w:left w:val="double" w:sz="4" w:space="0" w:color="auto"/>
            </w:tcBorders>
          </w:tcPr>
          <w:p w14:paraId="10AD19B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Pr>
          <w:p w14:paraId="5BBFC9E2"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1.5.1.2 (*) Drejtoria e ofruesit të AFP-së zbaton procedura transparente të menaxhimit të burimeve njerëzore (rekrutimi, përzgjedhja, ngarkesa e punës, punësimi, motivimi, largimi nga puna etj.) në përputhje me legjislacionin në fuqi dhe me rregulloret e brendshme.</w:t>
            </w:r>
          </w:p>
        </w:tc>
        <w:tc>
          <w:tcPr>
            <w:tcW w:w="494" w:type="pct"/>
          </w:tcPr>
          <w:p w14:paraId="67B0C57B"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w:t>
            </w:r>
          </w:p>
        </w:tc>
        <w:tc>
          <w:tcPr>
            <w:tcW w:w="494" w:type="pct"/>
          </w:tcPr>
          <w:p w14:paraId="0394EC7C"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w:t>
            </w:r>
          </w:p>
        </w:tc>
        <w:tc>
          <w:tcPr>
            <w:tcW w:w="494" w:type="pct"/>
          </w:tcPr>
          <w:p w14:paraId="0340FAA3"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w:t>
            </w:r>
          </w:p>
        </w:tc>
        <w:tc>
          <w:tcPr>
            <w:tcW w:w="433" w:type="pct"/>
          </w:tcPr>
          <w:p w14:paraId="6EDBEB6C"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w:t>
            </w:r>
          </w:p>
        </w:tc>
        <w:tc>
          <w:tcPr>
            <w:tcW w:w="433" w:type="pct"/>
            <w:tcBorders>
              <w:right w:val="double" w:sz="4" w:space="0" w:color="auto"/>
            </w:tcBorders>
          </w:tcPr>
          <w:p w14:paraId="05E36E86"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34418F3F" w14:textId="77777777" w:rsidTr="00764C61">
        <w:trPr>
          <w:trHeight w:val="20"/>
          <w:jc w:val="center"/>
        </w:trPr>
        <w:tc>
          <w:tcPr>
            <w:tcW w:w="644" w:type="pct"/>
            <w:vMerge/>
            <w:tcBorders>
              <w:left w:val="double" w:sz="4" w:space="0" w:color="auto"/>
            </w:tcBorders>
          </w:tcPr>
          <w:p w14:paraId="6D7E55A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Pr>
          <w:p w14:paraId="22AA09D9"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1.5.1.3</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harton përshkrime pune për çdo pozicion pune në strukturën organizative, në përputhje me legjislacionin në fuqi.</w:t>
            </w:r>
          </w:p>
        </w:tc>
        <w:tc>
          <w:tcPr>
            <w:tcW w:w="494" w:type="pct"/>
          </w:tcPr>
          <w:p w14:paraId="70487EC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28358EC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29B388D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679669F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106B0C5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Pr>
          <w:p w14:paraId="75C5D5A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41A326C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Borders>
              <w:right w:val="double" w:sz="4" w:space="0" w:color="auto"/>
            </w:tcBorders>
          </w:tcPr>
          <w:p w14:paraId="2B13DE3D"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52E426D" w14:textId="77777777" w:rsidTr="00764C61">
        <w:tblPrEx>
          <w:jc w:val="left"/>
        </w:tblPrEx>
        <w:trPr>
          <w:trHeight w:val="20"/>
        </w:trPr>
        <w:tc>
          <w:tcPr>
            <w:tcW w:w="644" w:type="pct"/>
            <w:vMerge/>
            <w:tcBorders>
              <w:left w:val="double" w:sz="4" w:space="0" w:color="auto"/>
            </w:tcBorders>
          </w:tcPr>
          <w:p w14:paraId="5221297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Pr>
          <w:p w14:paraId="5D41BD2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1.5.1.4 Drejtoria e ofruesit të AFP-së ka zhvilluar dhe përdor kritere, metodologji dhe instrumente të qarta dhe transparente për vlerësimin periodik të stafit mësimdhënës dhe mbështetës, duke përfshirë kritere të performancës që lidhen me arsimin gjithëpërfshirës, me ecurinë e rezultateve të të nxënit të nxënësve/kursantëve/individëve dhe me mirëqenien e tyre.</w:t>
            </w:r>
          </w:p>
        </w:tc>
        <w:tc>
          <w:tcPr>
            <w:tcW w:w="494" w:type="pct"/>
          </w:tcPr>
          <w:p w14:paraId="3E02A76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06DE297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13EA63E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Pr>
          <w:p w14:paraId="2208217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right w:val="double" w:sz="4" w:space="0" w:color="auto"/>
            </w:tcBorders>
          </w:tcPr>
          <w:p w14:paraId="2CF885B5"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BF4F112" w14:textId="77777777" w:rsidTr="00764C61">
        <w:tblPrEx>
          <w:jc w:val="left"/>
        </w:tblPrEx>
        <w:trPr>
          <w:trHeight w:val="20"/>
        </w:trPr>
        <w:tc>
          <w:tcPr>
            <w:tcW w:w="644" w:type="pct"/>
            <w:vMerge/>
            <w:tcBorders>
              <w:left w:val="double" w:sz="4" w:space="0" w:color="auto"/>
            </w:tcBorders>
          </w:tcPr>
          <w:p w14:paraId="6AB728F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bottom w:val="single" w:sz="4" w:space="0" w:color="auto"/>
            </w:tcBorders>
          </w:tcPr>
          <w:p w14:paraId="0FAC4023"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1.5.1.5</w:t>
            </w:r>
            <w:r>
              <w:rPr>
                <w:rFonts w:ascii="Garamond" w:hAnsi="Garamond"/>
                <w:sz w:val="20"/>
                <w:szCs w:val="20"/>
                <w:lang w:val="sq-AL"/>
              </w:rPr>
              <w:t xml:space="preserve"> (*)</w:t>
            </w:r>
            <w:r w:rsidRPr="00327310">
              <w:rPr>
                <w:rFonts w:ascii="Garamond" w:hAnsi="Garamond"/>
                <w:bCs/>
                <w:sz w:val="20"/>
                <w:szCs w:val="20"/>
                <w:lang w:val="sq-AL"/>
              </w:rPr>
              <w:t xml:space="preserve"> </w:t>
            </w:r>
            <w:r w:rsidRPr="00327310">
              <w:rPr>
                <w:rFonts w:ascii="Garamond" w:hAnsi="Garamond"/>
                <w:sz w:val="20"/>
                <w:szCs w:val="20"/>
                <w:lang w:val="sq-AL"/>
              </w:rPr>
              <w:t>Mësimdhënësit kanë përvojë përkatëse në fushën e kualifikimit(eve) profesional(e) të ofruar(a) nga ofruesi i AFP-së.</w:t>
            </w:r>
          </w:p>
        </w:tc>
        <w:tc>
          <w:tcPr>
            <w:tcW w:w="494" w:type="pct"/>
            <w:tcBorders>
              <w:bottom w:val="single" w:sz="4" w:space="0" w:color="auto"/>
            </w:tcBorders>
          </w:tcPr>
          <w:p w14:paraId="5E254A7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single" w:sz="4" w:space="0" w:color="auto"/>
            </w:tcBorders>
          </w:tcPr>
          <w:p w14:paraId="57A6A99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single" w:sz="4" w:space="0" w:color="auto"/>
            </w:tcBorders>
          </w:tcPr>
          <w:p w14:paraId="2FC426E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bottom w:val="single" w:sz="4" w:space="0" w:color="auto"/>
            </w:tcBorders>
          </w:tcPr>
          <w:p w14:paraId="13160042" w14:textId="77777777" w:rsidR="008412F5" w:rsidRPr="00327310" w:rsidRDefault="008412F5" w:rsidP="00764C61">
            <w:pPr>
              <w:pStyle w:val="ListParagraph"/>
              <w:spacing w:after="0" w:line="240" w:lineRule="auto"/>
              <w:ind w:left="0"/>
              <w:rPr>
                <w:rFonts w:ascii="Garamond" w:hAnsi="Garamond"/>
                <w:sz w:val="20"/>
                <w:szCs w:val="20"/>
                <w:lang w:val="sq-AL"/>
              </w:rPr>
            </w:pPr>
          </w:p>
          <w:p w14:paraId="4E14934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Borders>
              <w:bottom w:val="single" w:sz="4" w:space="0" w:color="auto"/>
              <w:right w:val="double" w:sz="4" w:space="0" w:color="auto"/>
            </w:tcBorders>
          </w:tcPr>
          <w:p w14:paraId="0662160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37800981" w14:textId="77777777" w:rsidTr="00764C61">
        <w:tblPrEx>
          <w:jc w:val="left"/>
        </w:tblPrEx>
        <w:trPr>
          <w:trHeight w:val="20"/>
        </w:trPr>
        <w:tc>
          <w:tcPr>
            <w:tcW w:w="644" w:type="pct"/>
            <w:vMerge w:val="restart"/>
            <w:tcBorders>
              <w:left w:val="double" w:sz="4" w:space="0" w:color="auto"/>
              <w:bottom w:val="double" w:sz="4" w:space="0" w:color="auto"/>
            </w:tcBorders>
          </w:tcPr>
          <w:p w14:paraId="7ED1458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1.5.2 Planet e zhvillimit profesional të stafit dhe zbatimi i tyre (duke përfshirë analizën e nevojave për trajnim)</w:t>
            </w:r>
          </w:p>
        </w:tc>
        <w:tc>
          <w:tcPr>
            <w:tcW w:w="2008" w:type="pct"/>
            <w:tcBorders>
              <w:bottom w:val="single" w:sz="4" w:space="0" w:color="auto"/>
            </w:tcBorders>
          </w:tcPr>
          <w:p w14:paraId="3D6483BD"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1.5.2.1</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dhe/ose njësia e zhvillimit (ose struktura përgjegjëse për sigurimin e cilësisë) harton dhe zbaton programe për zhvillimin e stafit drejtues dhe të stafit mësimdhënës e mbështetës, bazuar në analizën e nevojave për trajnim dhe në treguesit e përcaktuar në planin afatmesëm dhe në planin vjetor. </w:t>
            </w:r>
          </w:p>
        </w:tc>
        <w:tc>
          <w:tcPr>
            <w:tcW w:w="494" w:type="pct"/>
            <w:tcBorders>
              <w:bottom w:val="single" w:sz="4" w:space="0" w:color="auto"/>
            </w:tcBorders>
          </w:tcPr>
          <w:p w14:paraId="541EB8B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single" w:sz="4" w:space="0" w:color="auto"/>
            </w:tcBorders>
          </w:tcPr>
          <w:p w14:paraId="39A0E9C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single" w:sz="4" w:space="0" w:color="auto"/>
            </w:tcBorders>
          </w:tcPr>
          <w:p w14:paraId="6D35FC1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4B15EFE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Borders>
              <w:bottom w:val="single" w:sz="4" w:space="0" w:color="auto"/>
            </w:tcBorders>
          </w:tcPr>
          <w:p w14:paraId="23A1451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bottom w:val="single" w:sz="4" w:space="0" w:color="auto"/>
              <w:right w:val="single" w:sz="4" w:space="0" w:color="auto"/>
            </w:tcBorders>
          </w:tcPr>
          <w:p w14:paraId="7CE34FF9"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72788F2" w14:textId="77777777" w:rsidTr="00764C61">
        <w:trPr>
          <w:trHeight w:val="20"/>
          <w:jc w:val="center"/>
        </w:trPr>
        <w:tc>
          <w:tcPr>
            <w:tcW w:w="644" w:type="pct"/>
            <w:vMerge/>
            <w:tcBorders>
              <w:top w:val="double" w:sz="4" w:space="0" w:color="auto"/>
            </w:tcBorders>
          </w:tcPr>
          <w:p w14:paraId="45F9720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tcBorders>
          </w:tcPr>
          <w:p w14:paraId="0D9954E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1.5.2.2 Drejtoria e ofruesit të AFP-së dhe/ose njësia e zhvillimit (ose struktura përgjegjëse për sigurimin e cilësisë) mban të dhëna lidhur me pjesëmarrjen dhe rezultatet e pjesëmarrjes së stafit drejtues, mësimdhënës dhe mbështetës në programet e zhvillimit profesional.</w:t>
            </w:r>
          </w:p>
        </w:tc>
        <w:tc>
          <w:tcPr>
            <w:tcW w:w="494" w:type="pct"/>
            <w:tcBorders>
              <w:top w:val="single" w:sz="4" w:space="0" w:color="auto"/>
            </w:tcBorders>
          </w:tcPr>
          <w:p w14:paraId="4E5B2F9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tcBorders>
          </w:tcPr>
          <w:p w14:paraId="1B3E39A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3D36AE8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tcBorders>
          </w:tcPr>
          <w:p w14:paraId="75D282B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tcBorders>
          </w:tcPr>
          <w:p w14:paraId="27ED116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right w:val="single" w:sz="4" w:space="0" w:color="auto"/>
            </w:tcBorders>
          </w:tcPr>
          <w:p w14:paraId="4CC25AF0"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F8BFDED" w14:textId="77777777" w:rsidTr="00764C61">
        <w:tblPrEx>
          <w:jc w:val="left"/>
        </w:tblPrEx>
        <w:trPr>
          <w:trHeight w:val="20"/>
        </w:trPr>
        <w:tc>
          <w:tcPr>
            <w:tcW w:w="644" w:type="pct"/>
            <w:vMerge/>
          </w:tcPr>
          <w:p w14:paraId="22BD8B0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Pr>
          <w:p w14:paraId="5C8A45B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1.5.2.3</w:t>
            </w:r>
            <w:r>
              <w:rPr>
                <w:rFonts w:ascii="Garamond" w:hAnsi="Garamond"/>
                <w:sz w:val="20"/>
                <w:szCs w:val="20"/>
                <w:lang w:val="sq-AL"/>
              </w:rPr>
              <w:t xml:space="preserve"> (*)</w:t>
            </w:r>
            <w:r w:rsidRPr="00327310">
              <w:rPr>
                <w:rFonts w:ascii="Garamond" w:hAnsi="Garamond"/>
                <w:bCs/>
                <w:sz w:val="20"/>
                <w:szCs w:val="20"/>
                <w:lang w:val="sq-AL"/>
              </w:rPr>
              <w:t xml:space="preserve"> </w:t>
            </w:r>
            <w:r w:rsidRPr="00327310">
              <w:rPr>
                <w:rFonts w:ascii="Garamond" w:hAnsi="Garamond"/>
                <w:sz w:val="20"/>
                <w:szCs w:val="20"/>
                <w:lang w:val="sq-AL"/>
              </w:rPr>
              <w:t xml:space="preserve">Drejtoria e ofruesit të AFP-së, në bashkëpunim me personin përgjegjës për zhvillimin e vazhdueshëm profesional, </w:t>
            </w:r>
            <w:r w:rsidRPr="00327310">
              <w:rPr>
                <w:rFonts w:ascii="Garamond" w:hAnsi="Garamond"/>
                <w:sz w:val="20"/>
                <w:szCs w:val="20"/>
                <w:lang w:val="sq-AL"/>
              </w:rPr>
              <w:lastRenderedPageBreak/>
              <w:t>harton planet individuale të zhvillimit profesional bazuar në rezultatet e vlerësimit të performancës, me synim përmirësimin e pikave të dobëta dhe konsolidimin e pikave të forta.</w:t>
            </w:r>
          </w:p>
        </w:tc>
        <w:tc>
          <w:tcPr>
            <w:tcW w:w="494" w:type="pct"/>
          </w:tcPr>
          <w:p w14:paraId="3FA202C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lastRenderedPageBreak/>
              <w:t>√</w:t>
            </w:r>
          </w:p>
        </w:tc>
        <w:tc>
          <w:tcPr>
            <w:tcW w:w="494" w:type="pct"/>
          </w:tcPr>
          <w:p w14:paraId="45508E9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3E7A0C1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Pr>
          <w:p w14:paraId="6B2ED02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right w:val="double" w:sz="4" w:space="0" w:color="auto"/>
            </w:tcBorders>
          </w:tcPr>
          <w:p w14:paraId="7DF372E7"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6BE6E552" w14:textId="77777777" w:rsidTr="00764C61">
        <w:tblPrEx>
          <w:jc w:val="left"/>
        </w:tblPrEx>
        <w:trPr>
          <w:trHeight w:val="20"/>
        </w:trPr>
        <w:tc>
          <w:tcPr>
            <w:tcW w:w="644" w:type="pct"/>
            <w:vMerge/>
          </w:tcPr>
          <w:p w14:paraId="3899709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Pr>
          <w:p w14:paraId="71816F0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1.5.2.4</w:t>
            </w:r>
            <w:r>
              <w:rPr>
                <w:rFonts w:ascii="Garamond" w:hAnsi="Garamond"/>
                <w:sz w:val="20"/>
                <w:szCs w:val="20"/>
                <w:lang w:val="sq-AL"/>
              </w:rPr>
              <w:t xml:space="preserve"> (*)</w:t>
            </w:r>
            <w:r w:rsidRPr="00327310">
              <w:rPr>
                <w:rFonts w:ascii="Garamond" w:hAnsi="Garamond"/>
                <w:bCs/>
                <w:sz w:val="20"/>
                <w:szCs w:val="20"/>
                <w:lang w:val="sq-AL"/>
              </w:rPr>
              <w:t xml:space="preserve"> </w:t>
            </w:r>
            <w:r w:rsidRPr="00327310">
              <w:rPr>
                <w:rFonts w:ascii="Garamond" w:hAnsi="Garamond"/>
                <w:sz w:val="20"/>
                <w:szCs w:val="20"/>
                <w:lang w:val="sq-AL"/>
              </w:rPr>
              <w:t>Drejtoria e ofruesit të AFP-së planifikon dhe zbaton aktivitete të brendshme dhe të jashtme për zhvillimin profesional të mësimdhënësve, në përputhje me planet individuale të zhvillimit.</w:t>
            </w:r>
          </w:p>
        </w:tc>
        <w:tc>
          <w:tcPr>
            <w:tcW w:w="494" w:type="pct"/>
          </w:tcPr>
          <w:p w14:paraId="0D8D4A6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006BB91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3FA799B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1BC1DC5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Pr>
          <w:p w14:paraId="772E3A5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4380DB72"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Borders>
              <w:right w:val="double" w:sz="4" w:space="0" w:color="auto"/>
            </w:tcBorders>
          </w:tcPr>
          <w:p w14:paraId="416F74F6" w14:textId="77777777" w:rsidR="008412F5" w:rsidRPr="00327310" w:rsidRDefault="008412F5" w:rsidP="00764C61">
            <w:pPr>
              <w:pStyle w:val="ListParagraph"/>
              <w:spacing w:after="0" w:line="240" w:lineRule="auto"/>
              <w:ind w:left="0"/>
              <w:rPr>
                <w:rFonts w:ascii="Garamond" w:hAnsi="Garamond"/>
                <w:sz w:val="20"/>
                <w:szCs w:val="20"/>
                <w:lang w:val="sq-AL"/>
              </w:rPr>
            </w:pPr>
          </w:p>
        </w:tc>
      </w:tr>
    </w:tbl>
    <w:p w14:paraId="13F86078" w14:textId="77777777" w:rsidR="008412F5" w:rsidRPr="00327310" w:rsidRDefault="008412F5" w:rsidP="008412F5">
      <w:pPr>
        <w:pStyle w:val="ListParagraph"/>
        <w:ind w:firstLine="284"/>
        <w:jc w:val="both"/>
        <w:rPr>
          <w:rFonts w:ascii="Garamond" w:hAnsi="Garamond"/>
          <w:b/>
          <w:bCs/>
          <w:sz w:val="24"/>
          <w:szCs w:val="24"/>
          <w:lang w:val="sq-AL"/>
        </w:rPr>
      </w:pPr>
    </w:p>
    <w:p w14:paraId="3A99A1CD" w14:textId="77777777" w:rsidR="008412F5" w:rsidRPr="00327310" w:rsidRDefault="008412F5" w:rsidP="008412F5">
      <w:pPr>
        <w:pStyle w:val="ListParagraph"/>
        <w:ind w:firstLine="284"/>
        <w:jc w:val="both"/>
        <w:rPr>
          <w:rFonts w:ascii="Garamond" w:hAnsi="Garamond"/>
          <w:bCs/>
          <w:sz w:val="24"/>
          <w:szCs w:val="24"/>
          <w:lang w:val="sq-AL"/>
        </w:rPr>
      </w:pPr>
      <w:bookmarkStart w:id="7" w:name="_Toc44689555"/>
      <w:r w:rsidRPr="00327310">
        <w:rPr>
          <w:rFonts w:ascii="Garamond" w:hAnsi="Garamond"/>
          <w:b/>
          <w:bCs/>
          <w:sz w:val="24"/>
          <w:szCs w:val="24"/>
          <w:lang w:val="sq-AL"/>
        </w:rPr>
        <w:t>Nënfusha 1.6 Menaxhimi i burimeve financiare</w:t>
      </w:r>
      <w:bookmarkEnd w:id="7"/>
      <w:r w:rsidRPr="00327310">
        <w:rPr>
          <w:rFonts w:ascii="Garamond" w:hAnsi="Garamond"/>
          <w:b/>
          <w:bCs/>
          <w:sz w:val="24"/>
          <w:szCs w:val="24"/>
          <w:lang w:val="sq-AL"/>
        </w:rPr>
        <w:t xml:space="preserve"> dhe infrastrukturës fizike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5585"/>
        <w:gridCol w:w="1368"/>
        <w:gridCol w:w="1369"/>
        <w:gridCol w:w="1369"/>
        <w:gridCol w:w="1199"/>
        <w:gridCol w:w="1252"/>
      </w:tblGrid>
      <w:tr w:rsidR="008412F5" w:rsidRPr="00327310" w14:paraId="565A6BB2" w14:textId="77777777" w:rsidTr="00764C61">
        <w:trPr>
          <w:trHeight w:val="20"/>
          <w:jc w:val="center"/>
        </w:trPr>
        <w:tc>
          <w:tcPr>
            <w:tcW w:w="644" w:type="pct"/>
            <w:tcBorders>
              <w:top w:val="double" w:sz="4" w:space="0" w:color="auto"/>
              <w:left w:val="double" w:sz="4" w:space="0" w:color="auto"/>
            </w:tcBorders>
            <w:shd w:val="clear" w:color="auto" w:fill="D9D9D9" w:themeFill="background1" w:themeFillShade="D9"/>
            <w:vAlign w:val="center"/>
          </w:tcPr>
          <w:p w14:paraId="32E116E1"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2008" w:type="pct"/>
            <w:tcBorders>
              <w:top w:val="double" w:sz="4" w:space="0" w:color="auto"/>
            </w:tcBorders>
            <w:shd w:val="clear" w:color="auto" w:fill="D9D9D9" w:themeFill="background1" w:themeFillShade="D9"/>
            <w:vAlign w:val="center"/>
          </w:tcPr>
          <w:p w14:paraId="003794A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494" w:type="pct"/>
            <w:tcBorders>
              <w:top w:val="double" w:sz="4" w:space="0" w:color="auto"/>
            </w:tcBorders>
            <w:shd w:val="clear" w:color="auto" w:fill="D9D9D9" w:themeFill="background1" w:themeFillShade="D9"/>
            <w:vAlign w:val="center"/>
          </w:tcPr>
          <w:p w14:paraId="6F4F69A4"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5494ACA5"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94" w:type="pct"/>
            <w:tcBorders>
              <w:top w:val="double" w:sz="4" w:space="0" w:color="auto"/>
            </w:tcBorders>
            <w:shd w:val="clear" w:color="auto" w:fill="D9D9D9" w:themeFill="background1" w:themeFillShade="D9"/>
            <w:vAlign w:val="center"/>
          </w:tcPr>
          <w:p w14:paraId="66B005B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494" w:type="pct"/>
            <w:tcBorders>
              <w:top w:val="double" w:sz="4" w:space="0" w:color="auto"/>
            </w:tcBorders>
            <w:shd w:val="clear" w:color="auto" w:fill="D9D9D9" w:themeFill="background1" w:themeFillShade="D9"/>
            <w:vAlign w:val="center"/>
          </w:tcPr>
          <w:p w14:paraId="09D90EA9"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33" w:type="pct"/>
            <w:tcBorders>
              <w:top w:val="double" w:sz="4" w:space="0" w:color="auto"/>
            </w:tcBorders>
            <w:shd w:val="clear" w:color="auto" w:fill="D9D9D9" w:themeFill="background1" w:themeFillShade="D9"/>
            <w:vAlign w:val="center"/>
          </w:tcPr>
          <w:p w14:paraId="67142B8E"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33" w:type="pct"/>
            <w:tcBorders>
              <w:top w:val="double" w:sz="4" w:space="0" w:color="auto"/>
              <w:right w:val="double" w:sz="4" w:space="0" w:color="auto"/>
            </w:tcBorders>
            <w:shd w:val="clear" w:color="auto" w:fill="D9D9D9" w:themeFill="background1" w:themeFillShade="D9"/>
            <w:vAlign w:val="center"/>
          </w:tcPr>
          <w:p w14:paraId="0BD7CF57"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7139ED88"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28709E95" w14:textId="77777777" w:rsidTr="00764C61">
        <w:tblPrEx>
          <w:jc w:val="left"/>
        </w:tblPrEx>
        <w:trPr>
          <w:trHeight w:val="20"/>
        </w:trPr>
        <w:tc>
          <w:tcPr>
            <w:tcW w:w="644" w:type="pct"/>
            <w:vMerge w:val="restart"/>
            <w:tcBorders>
              <w:top w:val="double" w:sz="4" w:space="0" w:color="auto"/>
              <w:left w:val="double" w:sz="4" w:space="0" w:color="auto"/>
            </w:tcBorders>
          </w:tcPr>
          <w:p w14:paraId="65E27E1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1.6.1 Planifikimi i procedurave financiare dhe zbatimi i tyre</w:t>
            </w:r>
          </w:p>
        </w:tc>
        <w:tc>
          <w:tcPr>
            <w:tcW w:w="2008" w:type="pct"/>
            <w:tcBorders>
              <w:top w:val="double" w:sz="4" w:space="0" w:color="auto"/>
            </w:tcBorders>
          </w:tcPr>
          <w:p w14:paraId="3D0BAD1E"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1.6.1.1</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harton planin buxhetor (për vitin shkollor ose fiskal) në përputhje me kuadrin ligjor në fuqi, sipas burimeve të financimit, për arritjen e objektivave të vendosura në planin afatmesëm dhe në planin vjetor.</w:t>
            </w:r>
          </w:p>
        </w:tc>
        <w:tc>
          <w:tcPr>
            <w:tcW w:w="494" w:type="pct"/>
            <w:tcBorders>
              <w:top w:val="double" w:sz="4" w:space="0" w:color="auto"/>
            </w:tcBorders>
          </w:tcPr>
          <w:p w14:paraId="03FD284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double" w:sz="4" w:space="0" w:color="auto"/>
            </w:tcBorders>
          </w:tcPr>
          <w:p w14:paraId="21FFC1A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double" w:sz="4" w:space="0" w:color="auto"/>
            </w:tcBorders>
          </w:tcPr>
          <w:p w14:paraId="6BB4050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double" w:sz="4" w:space="0" w:color="auto"/>
            </w:tcBorders>
          </w:tcPr>
          <w:p w14:paraId="743262B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double" w:sz="4" w:space="0" w:color="auto"/>
              <w:right w:val="double" w:sz="4" w:space="0" w:color="auto"/>
            </w:tcBorders>
          </w:tcPr>
          <w:p w14:paraId="4C02F4A8"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361C159A" w14:textId="77777777" w:rsidTr="00764C61">
        <w:tblPrEx>
          <w:jc w:val="left"/>
        </w:tblPrEx>
        <w:trPr>
          <w:trHeight w:val="20"/>
        </w:trPr>
        <w:tc>
          <w:tcPr>
            <w:tcW w:w="644" w:type="pct"/>
            <w:vMerge/>
            <w:tcBorders>
              <w:left w:val="double" w:sz="4" w:space="0" w:color="auto"/>
            </w:tcBorders>
          </w:tcPr>
          <w:p w14:paraId="038093E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Pr>
          <w:p w14:paraId="76B682E4"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1.6.1.2</w:t>
            </w:r>
            <w:r>
              <w:rPr>
                <w:rFonts w:ascii="Garamond" w:hAnsi="Garamond"/>
                <w:bCs/>
                <w:sz w:val="20"/>
                <w:szCs w:val="20"/>
                <w:lang w:val="sq-AL"/>
              </w:rPr>
              <w:t xml:space="preserve"> (*)</w:t>
            </w:r>
            <w:r w:rsidRPr="00327310">
              <w:rPr>
                <w:rFonts w:ascii="Garamond" w:hAnsi="Garamond"/>
                <w:bCs/>
                <w:sz w:val="20"/>
                <w:szCs w:val="20"/>
                <w:lang w:val="sq-AL"/>
              </w:rPr>
              <w:t xml:space="preserve"> Buxheti miratohet nga bordi drejtues i ofruesit të AFP-së dhe/ose nga institucionet mbikëqyrëse, në përputhje me kuadrin ligjor në fuqi.</w:t>
            </w:r>
          </w:p>
        </w:tc>
        <w:tc>
          <w:tcPr>
            <w:tcW w:w="494" w:type="pct"/>
          </w:tcPr>
          <w:p w14:paraId="52C868B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6D658F3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6C350CC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4A38CED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0063FB2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Pr>
          <w:p w14:paraId="16A5DF7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right w:val="double" w:sz="4" w:space="0" w:color="auto"/>
            </w:tcBorders>
          </w:tcPr>
          <w:p w14:paraId="747B37E4"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D21411D" w14:textId="77777777" w:rsidTr="00764C61">
        <w:tblPrEx>
          <w:jc w:val="left"/>
        </w:tblPrEx>
        <w:trPr>
          <w:trHeight w:val="20"/>
        </w:trPr>
        <w:tc>
          <w:tcPr>
            <w:tcW w:w="644" w:type="pct"/>
            <w:vMerge/>
            <w:tcBorders>
              <w:left w:val="double" w:sz="4" w:space="0" w:color="auto"/>
            </w:tcBorders>
          </w:tcPr>
          <w:p w14:paraId="6E75970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Pr>
          <w:p w14:paraId="302FB87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1.6.1.3 </w:t>
            </w:r>
            <w:r w:rsidRPr="00327310">
              <w:rPr>
                <w:rFonts w:ascii="Garamond" w:hAnsi="Garamond"/>
                <w:bCs/>
                <w:sz w:val="20"/>
                <w:szCs w:val="20"/>
                <w:lang w:val="sq-AL"/>
              </w:rPr>
              <w:t xml:space="preserve">(*) </w:t>
            </w:r>
            <w:r w:rsidRPr="00327310">
              <w:rPr>
                <w:rFonts w:ascii="Garamond" w:hAnsi="Garamond"/>
                <w:sz w:val="20"/>
                <w:szCs w:val="20"/>
                <w:lang w:val="sq-AL"/>
              </w:rPr>
              <w:t>Buxheti përmban zëra për përmirësimin e infrastrukturës fizike, ambienteve, blerjen e materialeve dhe të pajisjeve, për procesin e mësimdhënies dhe të nxënit, si dhe për programet e zhvillimit profesional të stafit drejtues, mësimdhënës dhe mbështetës.</w:t>
            </w:r>
          </w:p>
        </w:tc>
        <w:tc>
          <w:tcPr>
            <w:tcW w:w="494" w:type="pct"/>
          </w:tcPr>
          <w:p w14:paraId="31C48DA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5C7B83D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097D4A63"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269B80C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Pr>
          <w:p w14:paraId="36A8DAD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06E1387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Borders>
              <w:right w:val="double" w:sz="4" w:space="0" w:color="auto"/>
            </w:tcBorders>
          </w:tcPr>
          <w:p w14:paraId="093EE699"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E029666" w14:textId="77777777" w:rsidTr="00764C61">
        <w:tblPrEx>
          <w:jc w:val="left"/>
        </w:tblPrEx>
        <w:trPr>
          <w:trHeight w:val="20"/>
        </w:trPr>
        <w:tc>
          <w:tcPr>
            <w:tcW w:w="644" w:type="pct"/>
            <w:vMerge/>
            <w:tcBorders>
              <w:left w:val="double" w:sz="4" w:space="0" w:color="auto"/>
            </w:tcBorders>
          </w:tcPr>
          <w:p w14:paraId="0FCBE4F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Pr>
          <w:p w14:paraId="1C1B424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1.6.1.4</w:t>
            </w:r>
            <w:r>
              <w:rPr>
                <w:rFonts w:ascii="Garamond" w:hAnsi="Garamond"/>
                <w:sz w:val="20"/>
                <w:szCs w:val="20"/>
                <w:lang w:val="sq-AL"/>
              </w:rPr>
              <w:t xml:space="preserve"> (*)</w:t>
            </w:r>
            <w:r w:rsidRPr="00327310">
              <w:rPr>
                <w:rFonts w:ascii="Garamond" w:hAnsi="Garamond"/>
                <w:bCs/>
                <w:sz w:val="20"/>
                <w:szCs w:val="20"/>
                <w:lang w:val="sq-AL"/>
              </w:rPr>
              <w:t xml:space="preserve"> </w:t>
            </w:r>
            <w:r w:rsidRPr="00327310">
              <w:rPr>
                <w:rFonts w:ascii="Garamond" w:hAnsi="Garamond"/>
                <w:sz w:val="20"/>
                <w:szCs w:val="20"/>
                <w:lang w:val="sq-AL"/>
              </w:rPr>
              <w:t>Drejtoria e ofruesit të AFP-së garanton realizimin e aktiviteteve financiare, kontabël, mbikëqyrëse dhe të auditimit, brenda institucionit ose me kontraktim, në përputhje me ligjin.</w:t>
            </w:r>
          </w:p>
        </w:tc>
        <w:tc>
          <w:tcPr>
            <w:tcW w:w="494" w:type="pct"/>
          </w:tcPr>
          <w:p w14:paraId="5CCB5FC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012582E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171A865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Pr>
          <w:p w14:paraId="6FA0B5E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right w:val="double" w:sz="4" w:space="0" w:color="auto"/>
            </w:tcBorders>
          </w:tcPr>
          <w:p w14:paraId="0370809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6E049CFE" w14:textId="77777777" w:rsidTr="00764C61">
        <w:tblPrEx>
          <w:jc w:val="left"/>
        </w:tblPrEx>
        <w:trPr>
          <w:trHeight w:val="20"/>
        </w:trPr>
        <w:tc>
          <w:tcPr>
            <w:tcW w:w="644" w:type="pct"/>
            <w:vMerge w:val="restart"/>
            <w:tcBorders>
              <w:left w:val="double" w:sz="4" w:space="0" w:color="auto"/>
            </w:tcBorders>
          </w:tcPr>
          <w:p w14:paraId="1450839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1.6.2 Përdorimi efikas i burimeve financiare</w:t>
            </w:r>
          </w:p>
        </w:tc>
        <w:tc>
          <w:tcPr>
            <w:tcW w:w="2008" w:type="pct"/>
            <w:tcBorders>
              <w:bottom w:val="single" w:sz="4" w:space="0" w:color="auto"/>
            </w:tcBorders>
          </w:tcPr>
          <w:p w14:paraId="6FD5556D"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1.6.2.1</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vë në zbatim buxhetin duke respektuar procedurat dhe afatet kohore të përcaktuara me ligj.</w:t>
            </w:r>
          </w:p>
        </w:tc>
        <w:tc>
          <w:tcPr>
            <w:tcW w:w="494" w:type="pct"/>
            <w:tcBorders>
              <w:bottom w:val="single" w:sz="4" w:space="0" w:color="auto"/>
            </w:tcBorders>
          </w:tcPr>
          <w:p w14:paraId="663B366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single" w:sz="4" w:space="0" w:color="auto"/>
            </w:tcBorders>
          </w:tcPr>
          <w:p w14:paraId="08A3C8F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single" w:sz="4" w:space="0" w:color="auto"/>
            </w:tcBorders>
          </w:tcPr>
          <w:p w14:paraId="0E609B1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bottom w:val="single" w:sz="4" w:space="0" w:color="auto"/>
            </w:tcBorders>
          </w:tcPr>
          <w:p w14:paraId="2B2BB86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bottom w:val="single" w:sz="4" w:space="0" w:color="auto"/>
              <w:right w:val="double" w:sz="4" w:space="0" w:color="auto"/>
            </w:tcBorders>
          </w:tcPr>
          <w:p w14:paraId="474CF29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9AC2E08" w14:textId="77777777" w:rsidTr="00764C61">
        <w:trPr>
          <w:trHeight w:val="20"/>
          <w:jc w:val="center"/>
        </w:trPr>
        <w:tc>
          <w:tcPr>
            <w:tcW w:w="644" w:type="pct"/>
            <w:vMerge/>
            <w:tcBorders>
              <w:left w:val="double" w:sz="4" w:space="0" w:color="auto"/>
            </w:tcBorders>
          </w:tcPr>
          <w:p w14:paraId="4207B74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bottom w:val="single" w:sz="4" w:space="0" w:color="auto"/>
            </w:tcBorders>
          </w:tcPr>
          <w:p w14:paraId="3D100F11"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1.6.2.2</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përdor me efikasitet burimet financiare për funksionimin e ofruesit të AFP-së dhe për arritjen e objektivave të vendosura në planin afatmesëm dhe në planin vjetor.</w:t>
            </w:r>
          </w:p>
        </w:tc>
        <w:tc>
          <w:tcPr>
            <w:tcW w:w="494" w:type="pct"/>
            <w:tcBorders>
              <w:bottom w:val="single" w:sz="4" w:space="0" w:color="auto"/>
            </w:tcBorders>
          </w:tcPr>
          <w:p w14:paraId="2C1ECFF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single" w:sz="4" w:space="0" w:color="auto"/>
            </w:tcBorders>
          </w:tcPr>
          <w:p w14:paraId="351C6FC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single" w:sz="4" w:space="0" w:color="auto"/>
            </w:tcBorders>
          </w:tcPr>
          <w:p w14:paraId="1EF8D83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bottom w:val="single" w:sz="4" w:space="0" w:color="auto"/>
            </w:tcBorders>
          </w:tcPr>
          <w:p w14:paraId="4B8CB02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bottom w:val="single" w:sz="4" w:space="0" w:color="auto"/>
              <w:right w:val="single" w:sz="4" w:space="0" w:color="auto"/>
            </w:tcBorders>
          </w:tcPr>
          <w:p w14:paraId="6F4E4B50"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BF72A86" w14:textId="77777777" w:rsidTr="00764C61">
        <w:trPr>
          <w:trHeight w:val="20"/>
          <w:jc w:val="center"/>
        </w:trPr>
        <w:tc>
          <w:tcPr>
            <w:tcW w:w="644" w:type="pct"/>
            <w:vMerge/>
            <w:tcBorders>
              <w:left w:val="double" w:sz="4" w:space="0" w:color="auto"/>
              <w:bottom w:val="single" w:sz="4" w:space="0" w:color="auto"/>
            </w:tcBorders>
          </w:tcPr>
          <w:p w14:paraId="4D6EA70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bottom w:val="single" w:sz="4" w:space="0" w:color="auto"/>
            </w:tcBorders>
          </w:tcPr>
          <w:p w14:paraId="290A5AE9"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1.6.2.3</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planifikon dhe menaxhon burime të tjera financimi të tilla si, të ardhurat e vetëgjeneruara, tarifat e shërbimit, kontributet nga donatorët, në përputhje me kuadrin ligjor.</w:t>
            </w:r>
          </w:p>
        </w:tc>
        <w:tc>
          <w:tcPr>
            <w:tcW w:w="494" w:type="pct"/>
            <w:tcBorders>
              <w:bottom w:val="single" w:sz="4" w:space="0" w:color="auto"/>
            </w:tcBorders>
          </w:tcPr>
          <w:p w14:paraId="0D4E6C4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single" w:sz="4" w:space="0" w:color="auto"/>
            </w:tcBorders>
          </w:tcPr>
          <w:p w14:paraId="149D564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single" w:sz="4" w:space="0" w:color="auto"/>
            </w:tcBorders>
          </w:tcPr>
          <w:p w14:paraId="7304DF1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bottom w:val="single" w:sz="4" w:space="0" w:color="auto"/>
            </w:tcBorders>
          </w:tcPr>
          <w:p w14:paraId="1CEFD07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bottom w:val="single" w:sz="4" w:space="0" w:color="auto"/>
              <w:right w:val="single" w:sz="4" w:space="0" w:color="auto"/>
            </w:tcBorders>
          </w:tcPr>
          <w:p w14:paraId="371C83C0"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BA5FBF0" w14:textId="77777777" w:rsidTr="00764C61">
        <w:tblPrEx>
          <w:jc w:val="left"/>
        </w:tblPrEx>
        <w:trPr>
          <w:trHeight w:val="20"/>
        </w:trPr>
        <w:tc>
          <w:tcPr>
            <w:tcW w:w="644" w:type="pct"/>
            <w:vMerge w:val="restart"/>
            <w:tcBorders>
              <w:top w:val="single" w:sz="4" w:space="0" w:color="auto"/>
              <w:left w:val="double" w:sz="4" w:space="0" w:color="auto"/>
              <w:right w:val="single" w:sz="4" w:space="0" w:color="auto"/>
            </w:tcBorders>
          </w:tcPr>
          <w:p w14:paraId="3427455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lastRenderedPageBreak/>
              <w:t>1.6.3 Cilësia e mjedisit fizik (në klasa dhe në mjediset e praktikës profesionale)</w:t>
            </w:r>
          </w:p>
        </w:tc>
        <w:tc>
          <w:tcPr>
            <w:tcW w:w="2008" w:type="pct"/>
            <w:tcBorders>
              <w:top w:val="single" w:sz="4" w:space="0" w:color="auto"/>
              <w:left w:val="single" w:sz="4" w:space="0" w:color="auto"/>
              <w:bottom w:val="single" w:sz="4" w:space="0" w:color="auto"/>
              <w:right w:val="single" w:sz="4" w:space="0" w:color="auto"/>
            </w:tcBorders>
          </w:tcPr>
          <w:p w14:paraId="619C4C09"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1.6.3.1</w:t>
            </w:r>
            <w:r>
              <w:rPr>
                <w:rFonts w:ascii="Garamond" w:hAnsi="Garamond"/>
                <w:bCs/>
                <w:sz w:val="20"/>
                <w:szCs w:val="20"/>
                <w:lang w:val="sq-AL"/>
              </w:rPr>
              <w:t xml:space="preserve"> (*)</w:t>
            </w:r>
            <w:r w:rsidRPr="00327310">
              <w:rPr>
                <w:rFonts w:ascii="Garamond" w:hAnsi="Garamond"/>
                <w:bCs/>
                <w:sz w:val="20"/>
                <w:szCs w:val="20"/>
                <w:lang w:val="sq-AL"/>
              </w:rPr>
              <w:t xml:space="preserve"> Të gjitha mjediset (godina, klasa, laboratorë, reparte të praktikave profesionale, duke përfshirë edhe ato në biznes) janë të mirëmbajtura, të pastra dhe në kushte të mira.</w:t>
            </w:r>
          </w:p>
        </w:tc>
        <w:tc>
          <w:tcPr>
            <w:tcW w:w="494" w:type="pct"/>
            <w:tcBorders>
              <w:top w:val="single" w:sz="4" w:space="0" w:color="auto"/>
              <w:left w:val="single" w:sz="4" w:space="0" w:color="auto"/>
              <w:bottom w:val="single" w:sz="4" w:space="0" w:color="auto"/>
              <w:right w:val="single" w:sz="4" w:space="0" w:color="auto"/>
            </w:tcBorders>
          </w:tcPr>
          <w:p w14:paraId="441DD3E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47572E9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76A24ED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4BB8342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74B4802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1A8D21EB" w14:textId="77777777" w:rsidTr="00764C61">
        <w:tblPrEx>
          <w:jc w:val="left"/>
        </w:tblPrEx>
        <w:trPr>
          <w:trHeight w:val="20"/>
        </w:trPr>
        <w:tc>
          <w:tcPr>
            <w:tcW w:w="644" w:type="pct"/>
            <w:vMerge/>
            <w:tcBorders>
              <w:left w:val="double" w:sz="4" w:space="0" w:color="auto"/>
              <w:right w:val="single" w:sz="4" w:space="0" w:color="auto"/>
            </w:tcBorders>
          </w:tcPr>
          <w:p w14:paraId="39BF0C0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713CC985"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1.6.3.2</w:t>
            </w:r>
            <w:r>
              <w:rPr>
                <w:rFonts w:ascii="Garamond" w:hAnsi="Garamond"/>
                <w:bCs/>
                <w:sz w:val="20"/>
                <w:szCs w:val="20"/>
                <w:lang w:val="sq-AL"/>
              </w:rPr>
              <w:t xml:space="preserve"> (*)</w:t>
            </w:r>
            <w:r w:rsidRPr="00327310">
              <w:rPr>
                <w:rFonts w:ascii="Garamond" w:hAnsi="Garamond"/>
                <w:bCs/>
                <w:sz w:val="20"/>
                <w:szCs w:val="20"/>
                <w:lang w:val="sq-AL"/>
              </w:rPr>
              <w:t xml:space="preserve"> Të gjitha mjediset, përfshirë mjediset e praktikës profesionale në biznes, janë të aksesueshme për të gjithë nxënësit, duke përfshirë për ata me nevoja të veçanta/aftësi të kufizuara.</w:t>
            </w:r>
          </w:p>
        </w:tc>
        <w:tc>
          <w:tcPr>
            <w:tcW w:w="494" w:type="pct"/>
            <w:tcBorders>
              <w:top w:val="single" w:sz="4" w:space="0" w:color="auto"/>
              <w:left w:val="single" w:sz="4" w:space="0" w:color="auto"/>
              <w:bottom w:val="single" w:sz="4" w:space="0" w:color="auto"/>
              <w:right w:val="single" w:sz="4" w:space="0" w:color="auto"/>
            </w:tcBorders>
          </w:tcPr>
          <w:p w14:paraId="440BEBE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1864D44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6F2FA05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11265A6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076721E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6F45937" w14:textId="77777777" w:rsidTr="00764C61">
        <w:tblPrEx>
          <w:jc w:val="left"/>
        </w:tblPrEx>
        <w:trPr>
          <w:trHeight w:val="20"/>
        </w:trPr>
        <w:tc>
          <w:tcPr>
            <w:tcW w:w="644" w:type="pct"/>
            <w:vMerge/>
            <w:tcBorders>
              <w:left w:val="double" w:sz="4" w:space="0" w:color="auto"/>
              <w:right w:val="single" w:sz="4" w:space="0" w:color="auto"/>
            </w:tcBorders>
          </w:tcPr>
          <w:p w14:paraId="335AFD4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44B35C84"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1.6.3.3 Të gjitha klasat, laboratorët, repartet e praktikës profesionale, duke përfshirë edhe ato në biznes, mjediset e administratës dhe ato ndihmëse, janë lehtësisht të identifikueshme përmes emërtimeve të përshtatshme.</w:t>
            </w:r>
          </w:p>
        </w:tc>
        <w:tc>
          <w:tcPr>
            <w:tcW w:w="494" w:type="pct"/>
            <w:tcBorders>
              <w:top w:val="single" w:sz="4" w:space="0" w:color="auto"/>
              <w:left w:val="single" w:sz="4" w:space="0" w:color="auto"/>
              <w:bottom w:val="single" w:sz="4" w:space="0" w:color="auto"/>
              <w:right w:val="single" w:sz="4" w:space="0" w:color="auto"/>
            </w:tcBorders>
          </w:tcPr>
          <w:p w14:paraId="2FF117F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4F31E4D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4824816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3B84B42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6CFFA89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5064EC4" w14:textId="77777777" w:rsidTr="00764C61">
        <w:tblPrEx>
          <w:jc w:val="left"/>
        </w:tblPrEx>
        <w:trPr>
          <w:trHeight w:val="20"/>
        </w:trPr>
        <w:tc>
          <w:tcPr>
            <w:tcW w:w="644" w:type="pct"/>
            <w:vMerge/>
            <w:tcBorders>
              <w:left w:val="double" w:sz="4" w:space="0" w:color="auto"/>
              <w:right w:val="single" w:sz="4" w:space="0" w:color="auto"/>
            </w:tcBorders>
          </w:tcPr>
          <w:p w14:paraId="070F663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74D19157"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1.6.3.4</w:t>
            </w:r>
            <w:r>
              <w:rPr>
                <w:rFonts w:ascii="Garamond" w:hAnsi="Garamond"/>
                <w:bCs/>
                <w:sz w:val="20"/>
                <w:szCs w:val="20"/>
                <w:lang w:val="sq-AL"/>
              </w:rPr>
              <w:t xml:space="preserve"> (*)</w:t>
            </w:r>
            <w:r w:rsidRPr="00327310">
              <w:rPr>
                <w:rFonts w:ascii="Garamond" w:hAnsi="Garamond"/>
                <w:bCs/>
                <w:sz w:val="20"/>
                <w:szCs w:val="20"/>
                <w:lang w:val="sq-AL"/>
              </w:rPr>
              <w:t xml:space="preserve"> Numri dhe struktura e mjediseve mësimore (klasa, laboratorë, pajisje digjitale, mjedise të praktikës profesionale, salla konferencash etj.) janë të përshtatshme dhe të mjaftueshme për të gjithë nxënësit/kursantët/individët dhe për zbatimin e të gjitha llojeve të kualifikimeve profesionale që ofrohen nga ofruesi i AFP-së. </w:t>
            </w:r>
          </w:p>
        </w:tc>
        <w:tc>
          <w:tcPr>
            <w:tcW w:w="494" w:type="pct"/>
            <w:tcBorders>
              <w:top w:val="single" w:sz="4" w:space="0" w:color="auto"/>
              <w:left w:val="single" w:sz="4" w:space="0" w:color="auto"/>
              <w:bottom w:val="single" w:sz="4" w:space="0" w:color="auto"/>
              <w:right w:val="single" w:sz="4" w:space="0" w:color="auto"/>
            </w:tcBorders>
          </w:tcPr>
          <w:p w14:paraId="26C1A16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6D58D9E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04AD7B8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0E69558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7A038B5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7CB798D" w14:textId="77777777" w:rsidTr="00764C61">
        <w:tblPrEx>
          <w:jc w:val="left"/>
        </w:tblPrEx>
        <w:trPr>
          <w:trHeight w:val="20"/>
        </w:trPr>
        <w:tc>
          <w:tcPr>
            <w:tcW w:w="644" w:type="pct"/>
            <w:vMerge/>
            <w:tcBorders>
              <w:left w:val="double" w:sz="4" w:space="0" w:color="auto"/>
              <w:right w:val="single" w:sz="4" w:space="0" w:color="auto"/>
            </w:tcBorders>
          </w:tcPr>
          <w:p w14:paraId="0E08A94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7D527D7A"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 xml:space="preserve">1.6.3.5 </w:t>
            </w:r>
            <w:r w:rsidRPr="00327310">
              <w:rPr>
                <w:rFonts w:ascii="Garamond" w:hAnsi="Garamond"/>
                <w:bCs/>
                <w:sz w:val="20"/>
                <w:szCs w:val="20"/>
                <w:lang w:val="sq-AL"/>
              </w:rPr>
              <w:t>Stafi mësimdhënës, jomësimdhënës dhe nxënësit/kursantët/ individët, kanë akses në ambientet ndihmëse dhe administrative (zyra, sekretari, magazina, arkiv, mensë, konvikte, palestër etj.)</w:t>
            </w:r>
            <w:r>
              <w:rPr>
                <w:rFonts w:ascii="Garamond" w:hAnsi="Garamond"/>
                <w:bCs/>
                <w:sz w:val="20"/>
                <w:szCs w:val="20"/>
                <w:lang w:val="sq-AL"/>
              </w:rPr>
              <w:t>,</w:t>
            </w:r>
            <w:r w:rsidRPr="00327310">
              <w:rPr>
                <w:rFonts w:ascii="Garamond" w:hAnsi="Garamond"/>
                <w:bCs/>
                <w:sz w:val="20"/>
                <w:szCs w:val="20"/>
                <w:lang w:val="sq-AL"/>
              </w:rPr>
              <w:t xml:space="preserve"> të cilat janë në cilësinë e duhur dhe funksionale.</w:t>
            </w:r>
          </w:p>
        </w:tc>
        <w:tc>
          <w:tcPr>
            <w:tcW w:w="494" w:type="pct"/>
            <w:tcBorders>
              <w:top w:val="single" w:sz="4" w:space="0" w:color="auto"/>
              <w:left w:val="single" w:sz="4" w:space="0" w:color="auto"/>
              <w:bottom w:val="single" w:sz="4" w:space="0" w:color="auto"/>
              <w:right w:val="single" w:sz="4" w:space="0" w:color="auto"/>
            </w:tcBorders>
          </w:tcPr>
          <w:p w14:paraId="60A4A11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26C5AFA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08F1470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2B3EC6D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225DE94A"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74A61A9" w14:textId="77777777" w:rsidTr="00764C61">
        <w:tblPrEx>
          <w:jc w:val="left"/>
        </w:tblPrEx>
        <w:trPr>
          <w:trHeight w:val="20"/>
        </w:trPr>
        <w:tc>
          <w:tcPr>
            <w:tcW w:w="644" w:type="pct"/>
            <w:vMerge/>
            <w:tcBorders>
              <w:left w:val="double" w:sz="4" w:space="0" w:color="auto"/>
              <w:right w:val="single" w:sz="4" w:space="0" w:color="auto"/>
            </w:tcBorders>
          </w:tcPr>
          <w:p w14:paraId="2402DC82"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1CD2293E"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 xml:space="preserve">1.6.3.6 </w:t>
            </w:r>
            <w:r w:rsidRPr="00327310">
              <w:rPr>
                <w:rFonts w:ascii="Garamond" w:hAnsi="Garamond"/>
                <w:bCs/>
                <w:sz w:val="20"/>
                <w:szCs w:val="20"/>
                <w:lang w:val="sq-AL"/>
              </w:rPr>
              <w:t xml:space="preserve">(*) </w:t>
            </w:r>
            <w:r w:rsidRPr="00327310">
              <w:rPr>
                <w:rFonts w:ascii="Garamond" w:hAnsi="Garamond"/>
                <w:sz w:val="20"/>
                <w:szCs w:val="20"/>
                <w:lang w:val="sq-AL"/>
              </w:rPr>
              <w:t>Stafi mësimor, jomësimdhënës dhe nxënësit/kursantët/individët e ofruesit të AFP-së kanë akses në tualete të pajisura sipas standardeve higjieno-sanitare, përfshirë ato në mjediset e praktikës profesionale, të ofruara nga partnerët e biznesit.</w:t>
            </w:r>
          </w:p>
        </w:tc>
        <w:tc>
          <w:tcPr>
            <w:tcW w:w="494" w:type="pct"/>
            <w:tcBorders>
              <w:top w:val="single" w:sz="4" w:space="0" w:color="auto"/>
              <w:left w:val="single" w:sz="4" w:space="0" w:color="auto"/>
              <w:bottom w:val="single" w:sz="4" w:space="0" w:color="auto"/>
              <w:right w:val="single" w:sz="4" w:space="0" w:color="auto"/>
            </w:tcBorders>
          </w:tcPr>
          <w:p w14:paraId="4584E3F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162AA6F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7D55287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46FDBD3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0F519193"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1966FCA" w14:textId="77777777" w:rsidTr="00764C61">
        <w:tblPrEx>
          <w:jc w:val="left"/>
        </w:tblPrEx>
        <w:trPr>
          <w:trHeight w:val="20"/>
        </w:trPr>
        <w:tc>
          <w:tcPr>
            <w:tcW w:w="644" w:type="pct"/>
            <w:vMerge/>
            <w:tcBorders>
              <w:left w:val="double" w:sz="4" w:space="0" w:color="auto"/>
              <w:right w:val="single" w:sz="4" w:space="0" w:color="auto"/>
            </w:tcBorders>
          </w:tcPr>
          <w:p w14:paraId="0B915F2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62FBE49B"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1.6.3.7 Stafi mësimor dhe nxënësit/kursantët/individët kanë akses në bibliotekën/qendrën e informacionit dhe dokumente të tjera (në kopje fizike ose di</w:t>
            </w:r>
            <w:r>
              <w:rPr>
                <w:rFonts w:ascii="Garamond" w:hAnsi="Garamond"/>
                <w:sz w:val="20"/>
                <w:szCs w:val="20"/>
                <w:lang w:val="sq-AL"/>
              </w:rPr>
              <w:t>gj</w:t>
            </w:r>
            <w:r w:rsidRPr="00327310">
              <w:rPr>
                <w:rFonts w:ascii="Garamond" w:hAnsi="Garamond"/>
                <w:sz w:val="20"/>
                <w:szCs w:val="20"/>
                <w:lang w:val="sq-AL"/>
              </w:rPr>
              <w:t>itale) të ofruesit të AFP-së.</w:t>
            </w:r>
          </w:p>
        </w:tc>
        <w:tc>
          <w:tcPr>
            <w:tcW w:w="494" w:type="pct"/>
            <w:tcBorders>
              <w:top w:val="single" w:sz="4" w:space="0" w:color="auto"/>
              <w:left w:val="single" w:sz="4" w:space="0" w:color="auto"/>
              <w:bottom w:val="single" w:sz="4" w:space="0" w:color="auto"/>
              <w:right w:val="single" w:sz="4" w:space="0" w:color="auto"/>
            </w:tcBorders>
          </w:tcPr>
          <w:p w14:paraId="747E0A2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2258D0C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444DAB1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72A8B06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4C84113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131149F" w14:textId="77777777" w:rsidTr="00764C61">
        <w:tblPrEx>
          <w:jc w:val="left"/>
        </w:tblPrEx>
        <w:trPr>
          <w:trHeight w:val="20"/>
        </w:trPr>
        <w:tc>
          <w:tcPr>
            <w:tcW w:w="644" w:type="pct"/>
            <w:vMerge w:val="restart"/>
            <w:tcBorders>
              <w:left w:val="double" w:sz="4" w:space="0" w:color="auto"/>
              <w:right w:val="single" w:sz="4" w:space="0" w:color="auto"/>
            </w:tcBorders>
          </w:tcPr>
          <w:p w14:paraId="034B39F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1.6.4 Mirëmbajtja dhe respektimi i rregullave të shëndetit dhe sigurisë në të gjitha mjediset</w:t>
            </w:r>
          </w:p>
        </w:tc>
        <w:tc>
          <w:tcPr>
            <w:tcW w:w="2008" w:type="pct"/>
            <w:tcBorders>
              <w:top w:val="single" w:sz="4" w:space="0" w:color="auto"/>
              <w:left w:val="single" w:sz="4" w:space="0" w:color="auto"/>
              <w:bottom w:val="single" w:sz="4" w:space="0" w:color="auto"/>
              <w:right w:val="single" w:sz="4" w:space="0" w:color="auto"/>
            </w:tcBorders>
          </w:tcPr>
          <w:p w14:paraId="77FB0780"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 xml:space="preserve">1.6.4. </w:t>
            </w:r>
            <w:r w:rsidRPr="00327310">
              <w:rPr>
                <w:rFonts w:ascii="Garamond" w:hAnsi="Garamond"/>
                <w:bCs/>
                <w:sz w:val="20"/>
                <w:szCs w:val="20"/>
                <w:lang w:val="sq-AL"/>
              </w:rPr>
              <w:t>1</w:t>
            </w:r>
            <w:r>
              <w:rPr>
                <w:rFonts w:ascii="Garamond" w:hAnsi="Garamond"/>
                <w:sz w:val="20"/>
                <w:szCs w:val="20"/>
                <w:lang w:val="sq-AL"/>
              </w:rPr>
              <w:t xml:space="preserve"> (*) </w:t>
            </w:r>
            <w:r w:rsidRPr="00327310">
              <w:rPr>
                <w:rFonts w:ascii="Garamond" w:hAnsi="Garamond"/>
                <w:bCs/>
                <w:sz w:val="20"/>
                <w:szCs w:val="20"/>
                <w:lang w:val="sq-AL"/>
              </w:rPr>
              <w:t>Ofruesi i AFP-së mban të gjitha autorizimet e shëndetit publik të lëshuara nga autoritetet kompetente, të cilat kërkohen me ligj, për të gjitha mjediset, duke përfshirë edhe mjediset e praktikës profesionale që ofrohen në partneritet me biznesin.</w:t>
            </w:r>
          </w:p>
        </w:tc>
        <w:tc>
          <w:tcPr>
            <w:tcW w:w="494" w:type="pct"/>
            <w:tcBorders>
              <w:top w:val="single" w:sz="4" w:space="0" w:color="auto"/>
              <w:left w:val="single" w:sz="4" w:space="0" w:color="auto"/>
              <w:bottom w:val="single" w:sz="4" w:space="0" w:color="auto"/>
              <w:right w:val="single" w:sz="4" w:space="0" w:color="auto"/>
            </w:tcBorders>
          </w:tcPr>
          <w:p w14:paraId="745BB83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7DB7DBB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left w:val="single" w:sz="4" w:space="0" w:color="auto"/>
              <w:bottom w:val="single" w:sz="4" w:space="0" w:color="auto"/>
              <w:right w:val="single" w:sz="4" w:space="0" w:color="auto"/>
            </w:tcBorders>
          </w:tcPr>
          <w:p w14:paraId="117405E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2B13E283"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left w:val="single" w:sz="4" w:space="0" w:color="auto"/>
              <w:bottom w:val="single" w:sz="4" w:space="0" w:color="auto"/>
              <w:right w:val="single" w:sz="4" w:space="0" w:color="auto"/>
            </w:tcBorders>
          </w:tcPr>
          <w:p w14:paraId="34E582C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63D6AED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3DFE177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Borders>
              <w:top w:val="single" w:sz="4" w:space="0" w:color="auto"/>
              <w:left w:val="single" w:sz="4" w:space="0" w:color="auto"/>
              <w:bottom w:val="single" w:sz="4" w:space="0" w:color="auto"/>
              <w:right w:val="double" w:sz="4" w:space="0" w:color="auto"/>
            </w:tcBorders>
          </w:tcPr>
          <w:p w14:paraId="57D71442"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E7DB45A" w14:textId="77777777" w:rsidTr="00764C61">
        <w:tblPrEx>
          <w:jc w:val="left"/>
        </w:tblPrEx>
        <w:trPr>
          <w:trHeight w:val="20"/>
        </w:trPr>
        <w:tc>
          <w:tcPr>
            <w:tcW w:w="644" w:type="pct"/>
            <w:vMerge/>
            <w:tcBorders>
              <w:left w:val="double" w:sz="4" w:space="0" w:color="auto"/>
              <w:right w:val="single" w:sz="4" w:space="0" w:color="auto"/>
            </w:tcBorders>
          </w:tcPr>
          <w:p w14:paraId="02F1002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729F199A"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1.6.4.2</w:t>
            </w:r>
            <w:r>
              <w:rPr>
                <w:rFonts w:ascii="Garamond" w:hAnsi="Garamond"/>
                <w:sz w:val="20"/>
                <w:szCs w:val="20"/>
                <w:lang w:val="sq-AL"/>
              </w:rPr>
              <w:t xml:space="preserve"> (*)</w:t>
            </w:r>
            <w:r w:rsidRPr="00327310">
              <w:rPr>
                <w:rFonts w:ascii="Garamond" w:hAnsi="Garamond"/>
                <w:bCs/>
                <w:sz w:val="20"/>
                <w:szCs w:val="20"/>
                <w:lang w:val="sq-AL"/>
              </w:rPr>
              <w:t xml:space="preserve"> Ofruesi i AFP-së mban të gjitha autorizimet e sigurisë për të gjitha ambientet (p.sh. certifikatat e sigurisë nga zjarri të lëshuara nga autoritetet kompetente) të kërkuara me ligj, duke përfshirë ambientet për praktikë profesionale që ofrohen në partneritet me biznesin.</w:t>
            </w:r>
          </w:p>
        </w:tc>
        <w:tc>
          <w:tcPr>
            <w:tcW w:w="494" w:type="pct"/>
            <w:tcBorders>
              <w:top w:val="single" w:sz="4" w:space="0" w:color="auto"/>
              <w:left w:val="single" w:sz="4" w:space="0" w:color="auto"/>
              <w:bottom w:val="single" w:sz="4" w:space="0" w:color="auto"/>
              <w:right w:val="single" w:sz="4" w:space="0" w:color="auto"/>
            </w:tcBorders>
          </w:tcPr>
          <w:p w14:paraId="5CA60F7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69AB8BE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left w:val="single" w:sz="4" w:space="0" w:color="auto"/>
              <w:bottom w:val="single" w:sz="4" w:space="0" w:color="auto"/>
              <w:right w:val="single" w:sz="4" w:space="0" w:color="auto"/>
            </w:tcBorders>
          </w:tcPr>
          <w:p w14:paraId="7523616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695BAA1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left w:val="single" w:sz="4" w:space="0" w:color="auto"/>
              <w:bottom w:val="single" w:sz="4" w:space="0" w:color="auto"/>
              <w:right w:val="single" w:sz="4" w:space="0" w:color="auto"/>
            </w:tcBorders>
          </w:tcPr>
          <w:p w14:paraId="7C9A1FA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3FBE4DC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02BB610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Borders>
              <w:top w:val="single" w:sz="4" w:space="0" w:color="auto"/>
              <w:left w:val="single" w:sz="4" w:space="0" w:color="auto"/>
              <w:bottom w:val="single" w:sz="4" w:space="0" w:color="auto"/>
              <w:right w:val="double" w:sz="4" w:space="0" w:color="auto"/>
            </w:tcBorders>
          </w:tcPr>
          <w:p w14:paraId="698716A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99C493C" w14:textId="77777777" w:rsidTr="00764C61">
        <w:tblPrEx>
          <w:jc w:val="left"/>
        </w:tblPrEx>
        <w:trPr>
          <w:trHeight w:val="20"/>
        </w:trPr>
        <w:tc>
          <w:tcPr>
            <w:tcW w:w="644" w:type="pct"/>
            <w:vMerge/>
            <w:tcBorders>
              <w:left w:val="double" w:sz="4" w:space="0" w:color="auto"/>
              <w:right w:val="single" w:sz="4" w:space="0" w:color="auto"/>
            </w:tcBorders>
          </w:tcPr>
          <w:p w14:paraId="377CD8C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4B963745"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1.6.4.3</w:t>
            </w:r>
            <w:r>
              <w:rPr>
                <w:rFonts w:ascii="Garamond" w:hAnsi="Garamond"/>
                <w:sz w:val="20"/>
                <w:szCs w:val="20"/>
                <w:lang w:val="sq-AL"/>
              </w:rPr>
              <w:t xml:space="preserve"> (*)</w:t>
            </w:r>
            <w:r w:rsidRPr="00327310">
              <w:rPr>
                <w:rFonts w:ascii="Garamond" w:hAnsi="Garamond"/>
                <w:bCs/>
                <w:sz w:val="20"/>
                <w:szCs w:val="20"/>
                <w:lang w:val="sq-AL"/>
              </w:rPr>
              <w:t xml:space="preserve"> </w:t>
            </w:r>
            <w:r w:rsidRPr="00327310">
              <w:rPr>
                <w:rFonts w:ascii="Garamond" w:hAnsi="Garamond"/>
                <w:sz w:val="20"/>
                <w:szCs w:val="20"/>
                <w:lang w:val="sq-AL"/>
              </w:rPr>
              <w:t>Drejtoria e ofruesit të AFP-së garanton burimet për mirëmbajtjen e të gjitha mjediseve (ndërtesave, klasave, laboratorëve, reparteve të praktikës profesionale etj.).</w:t>
            </w:r>
          </w:p>
        </w:tc>
        <w:tc>
          <w:tcPr>
            <w:tcW w:w="494" w:type="pct"/>
            <w:tcBorders>
              <w:top w:val="single" w:sz="4" w:space="0" w:color="auto"/>
              <w:left w:val="single" w:sz="4" w:space="0" w:color="auto"/>
              <w:bottom w:val="single" w:sz="4" w:space="0" w:color="auto"/>
              <w:right w:val="single" w:sz="4" w:space="0" w:color="auto"/>
            </w:tcBorders>
          </w:tcPr>
          <w:p w14:paraId="5CD3232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2AF7E41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left w:val="single" w:sz="4" w:space="0" w:color="auto"/>
              <w:bottom w:val="single" w:sz="4" w:space="0" w:color="auto"/>
              <w:right w:val="single" w:sz="4" w:space="0" w:color="auto"/>
            </w:tcBorders>
          </w:tcPr>
          <w:p w14:paraId="02F5E8D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2EF1AF6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left w:val="single" w:sz="4" w:space="0" w:color="auto"/>
              <w:bottom w:val="single" w:sz="4" w:space="0" w:color="auto"/>
              <w:right w:val="single" w:sz="4" w:space="0" w:color="auto"/>
            </w:tcBorders>
          </w:tcPr>
          <w:p w14:paraId="08E310F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0A0D7DB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429D782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3" w:type="pct"/>
            <w:tcBorders>
              <w:top w:val="single" w:sz="4" w:space="0" w:color="auto"/>
              <w:left w:val="single" w:sz="4" w:space="0" w:color="auto"/>
              <w:bottom w:val="single" w:sz="4" w:space="0" w:color="auto"/>
              <w:right w:val="double" w:sz="4" w:space="0" w:color="auto"/>
            </w:tcBorders>
          </w:tcPr>
          <w:p w14:paraId="2E1653DE"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33D30A95" w14:textId="77777777" w:rsidTr="00764C61">
        <w:tblPrEx>
          <w:jc w:val="left"/>
        </w:tblPrEx>
        <w:trPr>
          <w:trHeight w:val="20"/>
        </w:trPr>
        <w:tc>
          <w:tcPr>
            <w:tcW w:w="644" w:type="pct"/>
            <w:vMerge w:val="restart"/>
            <w:tcBorders>
              <w:left w:val="double" w:sz="4" w:space="0" w:color="auto"/>
              <w:right w:val="single" w:sz="4" w:space="0" w:color="auto"/>
            </w:tcBorders>
          </w:tcPr>
          <w:p w14:paraId="6BB2579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lastRenderedPageBreak/>
              <w:t>1.6.5 Garantimi i mirëqenies fizike dhe psikologjike të nxënësve dhe mësuesve në mjediset e ofruesit të AFP-së</w:t>
            </w:r>
          </w:p>
        </w:tc>
        <w:tc>
          <w:tcPr>
            <w:tcW w:w="2008" w:type="pct"/>
            <w:tcBorders>
              <w:top w:val="single" w:sz="4" w:space="0" w:color="auto"/>
              <w:left w:val="single" w:sz="4" w:space="0" w:color="auto"/>
              <w:bottom w:val="single" w:sz="4" w:space="0" w:color="auto"/>
              <w:right w:val="single" w:sz="4" w:space="0" w:color="auto"/>
            </w:tcBorders>
          </w:tcPr>
          <w:p w14:paraId="33D8138D"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1.6.5.1</w:t>
            </w:r>
            <w:r>
              <w:rPr>
                <w:rFonts w:ascii="Garamond" w:hAnsi="Garamond"/>
                <w:sz w:val="20"/>
                <w:szCs w:val="20"/>
                <w:lang w:val="sq-AL"/>
              </w:rPr>
              <w:t xml:space="preserve"> (*)</w:t>
            </w:r>
            <w:r w:rsidRPr="00327310">
              <w:rPr>
                <w:rFonts w:ascii="Garamond" w:hAnsi="Garamond"/>
                <w:bCs/>
                <w:sz w:val="20"/>
                <w:szCs w:val="20"/>
                <w:lang w:val="sq-AL"/>
              </w:rPr>
              <w:t xml:space="preserve"> Drejtoria e ofruesit të AFP-së krijon sisteme dhe procedura të sigurisë, sigurisë dhe shëndetit në punë dhe parandalimit nga zjarri, sipas kuadrit ligjor në fuqi.</w:t>
            </w:r>
          </w:p>
        </w:tc>
        <w:tc>
          <w:tcPr>
            <w:tcW w:w="494" w:type="pct"/>
            <w:tcBorders>
              <w:top w:val="single" w:sz="4" w:space="0" w:color="auto"/>
              <w:left w:val="single" w:sz="4" w:space="0" w:color="auto"/>
              <w:bottom w:val="single" w:sz="4" w:space="0" w:color="auto"/>
              <w:right w:val="single" w:sz="4" w:space="0" w:color="auto"/>
            </w:tcBorders>
          </w:tcPr>
          <w:p w14:paraId="0372E94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6A6B451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left w:val="single" w:sz="4" w:space="0" w:color="auto"/>
              <w:bottom w:val="single" w:sz="4" w:space="0" w:color="auto"/>
              <w:right w:val="single" w:sz="4" w:space="0" w:color="auto"/>
            </w:tcBorders>
          </w:tcPr>
          <w:p w14:paraId="304590F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77D6396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7064112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49F414E9"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07080D6" w14:textId="77777777" w:rsidTr="00764C61">
        <w:tblPrEx>
          <w:jc w:val="left"/>
        </w:tblPrEx>
        <w:trPr>
          <w:trHeight w:val="20"/>
        </w:trPr>
        <w:tc>
          <w:tcPr>
            <w:tcW w:w="644" w:type="pct"/>
            <w:vMerge/>
            <w:tcBorders>
              <w:left w:val="double" w:sz="4" w:space="0" w:color="auto"/>
              <w:right w:val="single" w:sz="4" w:space="0" w:color="auto"/>
            </w:tcBorders>
          </w:tcPr>
          <w:p w14:paraId="4249CB1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2401572C"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1.6.5.2</w:t>
            </w:r>
            <w:r>
              <w:rPr>
                <w:rFonts w:ascii="Garamond" w:hAnsi="Garamond"/>
                <w:sz w:val="20"/>
                <w:szCs w:val="20"/>
                <w:lang w:val="sq-AL"/>
              </w:rPr>
              <w:t xml:space="preserve"> (*) </w:t>
            </w:r>
            <w:r w:rsidRPr="00327310">
              <w:rPr>
                <w:rFonts w:ascii="Garamond" w:hAnsi="Garamond"/>
                <w:bCs/>
                <w:sz w:val="20"/>
                <w:szCs w:val="20"/>
                <w:lang w:val="sq-AL"/>
              </w:rPr>
              <w:t>Nxënësit/kursantët/individët, stafi mësimdhënës dhe mbështetës respektojnë procedurat e sigurisë gjatë orëve të mësimit (procedurat e sigurisë së brendshme ose marrëveshjet/kontratat me agjencitë e specializuara ose policinë/zjarrfikësit).</w:t>
            </w:r>
          </w:p>
        </w:tc>
        <w:tc>
          <w:tcPr>
            <w:tcW w:w="494" w:type="pct"/>
            <w:tcBorders>
              <w:top w:val="single" w:sz="4" w:space="0" w:color="auto"/>
              <w:left w:val="single" w:sz="4" w:space="0" w:color="auto"/>
              <w:bottom w:val="single" w:sz="4" w:space="0" w:color="auto"/>
              <w:right w:val="single" w:sz="4" w:space="0" w:color="auto"/>
            </w:tcBorders>
          </w:tcPr>
          <w:p w14:paraId="627A0BB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7F1FAE43"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left w:val="single" w:sz="4" w:space="0" w:color="auto"/>
              <w:bottom w:val="single" w:sz="4" w:space="0" w:color="auto"/>
              <w:right w:val="single" w:sz="4" w:space="0" w:color="auto"/>
            </w:tcBorders>
          </w:tcPr>
          <w:p w14:paraId="7D6D312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6104A0D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099ACD3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12C09067"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31A522A4" w14:textId="77777777" w:rsidTr="00764C61">
        <w:tblPrEx>
          <w:jc w:val="left"/>
        </w:tblPrEx>
        <w:trPr>
          <w:trHeight w:val="20"/>
        </w:trPr>
        <w:tc>
          <w:tcPr>
            <w:tcW w:w="644" w:type="pct"/>
            <w:vMerge/>
            <w:tcBorders>
              <w:left w:val="double" w:sz="4" w:space="0" w:color="auto"/>
              <w:right w:val="single" w:sz="4" w:space="0" w:color="auto"/>
            </w:tcBorders>
          </w:tcPr>
          <w:p w14:paraId="770B34C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03F5C358"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1.6.5.</w:t>
            </w:r>
            <w:r w:rsidRPr="00327310">
              <w:rPr>
                <w:rFonts w:ascii="Garamond" w:hAnsi="Garamond"/>
                <w:bCs/>
                <w:sz w:val="20"/>
                <w:szCs w:val="20"/>
                <w:lang w:val="sq-AL"/>
              </w:rPr>
              <w:t>3</w:t>
            </w:r>
            <w:r>
              <w:rPr>
                <w:rFonts w:ascii="Garamond" w:hAnsi="Garamond"/>
                <w:bCs/>
                <w:sz w:val="20"/>
                <w:szCs w:val="20"/>
                <w:lang w:val="sq-AL"/>
              </w:rPr>
              <w:t xml:space="preserve"> (*)</w:t>
            </w:r>
            <w:r w:rsidRPr="00327310">
              <w:rPr>
                <w:rFonts w:ascii="Garamond" w:hAnsi="Garamond"/>
                <w:bCs/>
                <w:sz w:val="20"/>
                <w:szCs w:val="20"/>
                <w:lang w:val="sq-AL"/>
              </w:rPr>
              <w:t xml:space="preserve"> Nxënësit/kursantët/ individët, stafi mësimdhënës dhe mbështetës respektojnë rregullat e shëndetit dhe sigurisë në punë, si dhe sistemet dhe procedurat e parandalimit nga zjarri, të përcaktuara me ligj, në mjediset e ofruesit të AFP-së dhe në mjediset e praktikës profesionale në biznes.</w:t>
            </w:r>
          </w:p>
        </w:tc>
        <w:tc>
          <w:tcPr>
            <w:tcW w:w="494" w:type="pct"/>
            <w:tcBorders>
              <w:top w:val="single" w:sz="4" w:space="0" w:color="auto"/>
              <w:left w:val="single" w:sz="4" w:space="0" w:color="auto"/>
              <w:bottom w:val="single" w:sz="4" w:space="0" w:color="auto"/>
              <w:right w:val="single" w:sz="4" w:space="0" w:color="auto"/>
            </w:tcBorders>
          </w:tcPr>
          <w:p w14:paraId="0653B36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5416453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left w:val="single" w:sz="4" w:space="0" w:color="auto"/>
              <w:bottom w:val="single" w:sz="4" w:space="0" w:color="auto"/>
              <w:right w:val="single" w:sz="4" w:space="0" w:color="auto"/>
            </w:tcBorders>
          </w:tcPr>
          <w:p w14:paraId="756B38A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2D697CC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42E44F3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4BC07714"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EE98BFA" w14:textId="77777777" w:rsidTr="00764C61">
        <w:tblPrEx>
          <w:jc w:val="left"/>
        </w:tblPrEx>
        <w:trPr>
          <w:trHeight w:val="20"/>
        </w:trPr>
        <w:tc>
          <w:tcPr>
            <w:tcW w:w="644" w:type="pct"/>
            <w:vMerge/>
            <w:tcBorders>
              <w:left w:val="double" w:sz="4" w:space="0" w:color="auto"/>
              <w:right w:val="single" w:sz="4" w:space="0" w:color="auto"/>
            </w:tcBorders>
          </w:tcPr>
          <w:p w14:paraId="272EC86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single" w:sz="4" w:space="0" w:color="auto"/>
              <w:right w:val="single" w:sz="4" w:space="0" w:color="auto"/>
            </w:tcBorders>
          </w:tcPr>
          <w:p w14:paraId="48CA83DD"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1.6.5.4</w:t>
            </w:r>
            <w:r>
              <w:rPr>
                <w:rFonts w:ascii="Garamond" w:hAnsi="Garamond"/>
                <w:sz w:val="20"/>
                <w:szCs w:val="20"/>
                <w:lang w:val="sq-AL"/>
              </w:rPr>
              <w:t xml:space="preserve"> (*)</w:t>
            </w:r>
            <w:r w:rsidRPr="00327310">
              <w:rPr>
                <w:rFonts w:ascii="Garamond" w:hAnsi="Garamond"/>
                <w:bCs/>
                <w:sz w:val="20"/>
                <w:szCs w:val="20"/>
                <w:lang w:val="sq-AL"/>
              </w:rPr>
              <w:t xml:space="preserve"> Nxënësit/kursantët/ individët, stafi mësimdhënës dhe mbështetës trajnohen, </w:t>
            </w:r>
            <w:r w:rsidRPr="00327310">
              <w:rPr>
                <w:rFonts w:ascii="Garamond" w:hAnsi="Garamond"/>
                <w:sz w:val="20"/>
                <w:szCs w:val="20"/>
                <w:lang w:val="sq-AL"/>
              </w:rPr>
              <w:t>njohin dhe respektojnë rregullat e sjelljes në situata emergjente sipas legjislacionit në fuqi.</w:t>
            </w:r>
          </w:p>
        </w:tc>
        <w:tc>
          <w:tcPr>
            <w:tcW w:w="494" w:type="pct"/>
            <w:tcBorders>
              <w:top w:val="single" w:sz="4" w:space="0" w:color="auto"/>
              <w:left w:val="single" w:sz="4" w:space="0" w:color="auto"/>
              <w:bottom w:val="single" w:sz="4" w:space="0" w:color="auto"/>
              <w:right w:val="single" w:sz="4" w:space="0" w:color="auto"/>
            </w:tcBorders>
          </w:tcPr>
          <w:p w14:paraId="1C317F7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31F3CB5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top w:val="single" w:sz="4" w:space="0" w:color="auto"/>
              <w:left w:val="single" w:sz="4" w:space="0" w:color="auto"/>
              <w:bottom w:val="single" w:sz="4" w:space="0" w:color="auto"/>
              <w:right w:val="single" w:sz="4" w:space="0" w:color="auto"/>
            </w:tcBorders>
          </w:tcPr>
          <w:p w14:paraId="70CC19D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single" w:sz="4" w:space="0" w:color="auto"/>
              <w:right w:val="single" w:sz="4" w:space="0" w:color="auto"/>
            </w:tcBorders>
          </w:tcPr>
          <w:p w14:paraId="61088CD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single" w:sz="4" w:space="0" w:color="auto"/>
            </w:tcBorders>
          </w:tcPr>
          <w:p w14:paraId="201033C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single" w:sz="4" w:space="0" w:color="auto"/>
              <w:right w:val="double" w:sz="4" w:space="0" w:color="auto"/>
            </w:tcBorders>
          </w:tcPr>
          <w:p w14:paraId="289F360E"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1F4F306" w14:textId="77777777" w:rsidTr="00764C61">
        <w:tblPrEx>
          <w:jc w:val="left"/>
        </w:tblPrEx>
        <w:trPr>
          <w:trHeight w:val="20"/>
        </w:trPr>
        <w:tc>
          <w:tcPr>
            <w:tcW w:w="644" w:type="pct"/>
            <w:vMerge/>
            <w:tcBorders>
              <w:left w:val="double" w:sz="4" w:space="0" w:color="auto"/>
              <w:bottom w:val="double" w:sz="4" w:space="0" w:color="auto"/>
              <w:right w:val="single" w:sz="4" w:space="0" w:color="auto"/>
            </w:tcBorders>
          </w:tcPr>
          <w:p w14:paraId="60ABEE4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2008" w:type="pct"/>
            <w:tcBorders>
              <w:top w:val="single" w:sz="4" w:space="0" w:color="auto"/>
              <w:left w:val="single" w:sz="4" w:space="0" w:color="auto"/>
              <w:bottom w:val="double" w:sz="4" w:space="0" w:color="auto"/>
              <w:right w:val="single" w:sz="4" w:space="0" w:color="auto"/>
            </w:tcBorders>
          </w:tcPr>
          <w:p w14:paraId="3EE2032C"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 xml:space="preserve">1.6.5.5 </w:t>
            </w:r>
            <w:r w:rsidRPr="00327310">
              <w:rPr>
                <w:rFonts w:ascii="Garamond" w:hAnsi="Garamond"/>
                <w:bCs/>
                <w:sz w:val="20"/>
                <w:szCs w:val="20"/>
                <w:lang w:val="sq-AL"/>
              </w:rPr>
              <w:t>Nxënësit/kursantët/</w:t>
            </w:r>
            <w:r w:rsidRPr="00327310">
              <w:rPr>
                <w:rFonts w:ascii="Garamond" w:hAnsi="Garamond"/>
                <w:sz w:val="20"/>
                <w:szCs w:val="20"/>
                <w:lang w:val="sq-AL"/>
              </w:rPr>
              <w:t xml:space="preserve"> </w:t>
            </w:r>
            <w:r w:rsidRPr="00327310">
              <w:rPr>
                <w:rFonts w:ascii="Garamond" w:hAnsi="Garamond"/>
                <w:bCs/>
                <w:sz w:val="20"/>
                <w:szCs w:val="20"/>
                <w:lang w:val="sq-AL"/>
              </w:rPr>
              <w:t xml:space="preserve">individët, stafi mësimdhënës dhe mbështetës </w:t>
            </w:r>
            <w:r w:rsidRPr="00327310">
              <w:rPr>
                <w:rFonts w:ascii="Garamond" w:hAnsi="Garamond"/>
                <w:sz w:val="20"/>
                <w:szCs w:val="20"/>
                <w:lang w:val="sq-AL"/>
              </w:rPr>
              <w:t>kanë akses në objektet dhe shërbimet e kujdesit shëndetësor, në përputhje me rregulloret ekzistuese në fuqi.</w:t>
            </w:r>
          </w:p>
        </w:tc>
        <w:tc>
          <w:tcPr>
            <w:tcW w:w="494" w:type="pct"/>
            <w:tcBorders>
              <w:top w:val="single" w:sz="4" w:space="0" w:color="auto"/>
              <w:left w:val="single" w:sz="4" w:space="0" w:color="auto"/>
              <w:bottom w:val="double" w:sz="4" w:space="0" w:color="auto"/>
              <w:right w:val="single" w:sz="4" w:space="0" w:color="auto"/>
            </w:tcBorders>
          </w:tcPr>
          <w:p w14:paraId="7FA08AD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double" w:sz="4" w:space="0" w:color="auto"/>
              <w:right w:val="single" w:sz="4" w:space="0" w:color="auto"/>
            </w:tcBorders>
          </w:tcPr>
          <w:p w14:paraId="4CFB74D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single" w:sz="4" w:space="0" w:color="auto"/>
              <w:left w:val="single" w:sz="4" w:space="0" w:color="auto"/>
              <w:bottom w:val="double" w:sz="4" w:space="0" w:color="auto"/>
              <w:right w:val="single" w:sz="4" w:space="0" w:color="auto"/>
            </w:tcBorders>
          </w:tcPr>
          <w:p w14:paraId="65BDECA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double" w:sz="4" w:space="0" w:color="auto"/>
              <w:right w:val="single" w:sz="4" w:space="0" w:color="auto"/>
            </w:tcBorders>
          </w:tcPr>
          <w:p w14:paraId="422D151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3" w:type="pct"/>
            <w:tcBorders>
              <w:top w:val="single" w:sz="4" w:space="0" w:color="auto"/>
              <w:left w:val="single" w:sz="4" w:space="0" w:color="auto"/>
              <w:bottom w:val="double" w:sz="4" w:space="0" w:color="auto"/>
              <w:right w:val="double" w:sz="4" w:space="0" w:color="auto"/>
            </w:tcBorders>
          </w:tcPr>
          <w:p w14:paraId="568E08D0" w14:textId="77777777" w:rsidR="008412F5" w:rsidRPr="00327310" w:rsidRDefault="008412F5" w:rsidP="00764C61">
            <w:pPr>
              <w:pStyle w:val="ListParagraph"/>
              <w:spacing w:after="0" w:line="240" w:lineRule="auto"/>
              <w:ind w:left="0"/>
              <w:rPr>
                <w:rFonts w:ascii="Garamond" w:hAnsi="Garamond"/>
                <w:sz w:val="20"/>
                <w:szCs w:val="20"/>
                <w:lang w:val="sq-AL"/>
              </w:rPr>
            </w:pPr>
          </w:p>
        </w:tc>
      </w:tr>
    </w:tbl>
    <w:p w14:paraId="4D1BF064" w14:textId="77777777" w:rsidR="008412F5" w:rsidRPr="00327310" w:rsidRDefault="008412F5" w:rsidP="008412F5">
      <w:pPr>
        <w:pStyle w:val="ListParagraph"/>
        <w:ind w:firstLine="284"/>
        <w:jc w:val="both"/>
        <w:rPr>
          <w:rFonts w:ascii="Garamond" w:hAnsi="Garamond"/>
          <w:b/>
          <w:sz w:val="24"/>
          <w:szCs w:val="24"/>
          <w:lang w:val="sq-AL"/>
        </w:rPr>
      </w:pPr>
    </w:p>
    <w:p w14:paraId="43E2038B" w14:textId="77777777" w:rsidR="008412F5" w:rsidRPr="00327310" w:rsidRDefault="008412F5" w:rsidP="008412F5">
      <w:pPr>
        <w:pStyle w:val="ListParagraph"/>
        <w:ind w:firstLine="284"/>
        <w:jc w:val="both"/>
        <w:rPr>
          <w:rFonts w:ascii="Garamond" w:hAnsi="Garamond"/>
          <w:sz w:val="24"/>
          <w:szCs w:val="24"/>
          <w:lang w:val="sq-AL"/>
        </w:rPr>
      </w:pPr>
      <w:r w:rsidRPr="00327310">
        <w:rPr>
          <w:rFonts w:ascii="Garamond" w:hAnsi="Garamond"/>
          <w:b/>
          <w:sz w:val="24"/>
          <w:szCs w:val="24"/>
          <w:lang w:val="sq-AL"/>
        </w:rPr>
        <w:t>Nënfusha 1.7 Ankimimi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5494"/>
        <w:gridCol w:w="1368"/>
        <w:gridCol w:w="1368"/>
        <w:gridCol w:w="1368"/>
        <w:gridCol w:w="1282"/>
        <w:gridCol w:w="1252"/>
      </w:tblGrid>
      <w:tr w:rsidR="008412F5" w:rsidRPr="00327310" w14:paraId="77399D5D" w14:textId="77777777" w:rsidTr="00764C61">
        <w:trPr>
          <w:trHeight w:val="20"/>
        </w:trPr>
        <w:tc>
          <w:tcPr>
            <w:tcW w:w="648" w:type="pct"/>
            <w:tcBorders>
              <w:top w:val="double" w:sz="4" w:space="0" w:color="auto"/>
              <w:left w:val="double" w:sz="4" w:space="0" w:color="auto"/>
              <w:bottom w:val="double" w:sz="4" w:space="0" w:color="auto"/>
            </w:tcBorders>
            <w:shd w:val="clear" w:color="auto" w:fill="D9D9D9" w:themeFill="background1" w:themeFillShade="D9"/>
            <w:vAlign w:val="center"/>
          </w:tcPr>
          <w:p w14:paraId="50AED5D2"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TREGUESIT</w:t>
            </w:r>
          </w:p>
        </w:tc>
        <w:tc>
          <w:tcPr>
            <w:tcW w:w="1975" w:type="pct"/>
            <w:tcBorders>
              <w:top w:val="double" w:sz="4" w:space="0" w:color="auto"/>
              <w:bottom w:val="double" w:sz="4" w:space="0" w:color="auto"/>
            </w:tcBorders>
            <w:shd w:val="clear" w:color="auto" w:fill="D9D9D9" w:themeFill="background1" w:themeFillShade="D9"/>
            <w:vAlign w:val="center"/>
          </w:tcPr>
          <w:p w14:paraId="5E4DA976"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Kriteret</w:t>
            </w:r>
          </w:p>
        </w:tc>
        <w:tc>
          <w:tcPr>
            <w:tcW w:w="494" w:type="pct"/>
            <w:tcBorders>
              <w:top w:val="double" w:sz="4" w:space="0" w:color="auto"/>
              <w:bottom w:val="double" w:sz="4" w:space="0" w:color="auto"/>
            </w:tcBorders>
            <w:shd w:val="clear" w:color="auto" w:fill="D9D9D9" w:themeFill="background1" w:themeFillShade="D9"/>
            <w:vAlign w:val="center"/>
          </w:tcPr>
          <w:p w14:paraId="646AFB57"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p>
          <w:p w14:paraId="773932E3"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w:t>
            </w:r>
          </w:p>
          <w:p w14:paraId="68621916"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rinj të AFP-së</w:t>
            </w:r>
          </w:p>
        </w:tc>
        <w:tc>
          <w:tcPr>
            <w:tcW w:w="494" w:type="pct"/>
            <w:tcBorders>
              <w:top w:val="double" w:sz="4" w:space="0" w:color="auto"/>
              <w:bottom w:val="double" w:sz="4" w:space="0" w:color="auto"/>
            </w:tcBorders>
            <w:shd w:val="clear" w:color="auto" w:fill="D9D9D9" w:themeFill="background1" w:themeFillShade="D9"/>
            <w:vAlign w:val="center"/>
          </w:tcPr>
          <w:p w14:paraId="16694D1E"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 xml:space="preserve">Ofruesit e kualifikimeve </w:t>
            </w:r>
            <w:r>
              <w:rPr>
                <w:rFonts w:ascii="Garamond" w:hAnsi="Garamond"/>
                <w:b/>
                <w:bCs/>
                <w:sz w:val="20"/>
                <w:szCs w:val="24"/>
                <w:lang w:val="sq-AL"/>
              </w:rPr>
              <w:t>2–5 të KSHK-së (arsimi profesional formal)</w:t>
            </w:r>
          </w:p>
        </w:tc>
        <w:tc>
          <w:tcPr>
            <w:tcW w:w="494" w:type="pct"/>
            <w:tcBorders>
              <w:top w:val="double" w:sz="4" w:space="0" w:color="auto"/>
              <w:bottom w:val="double" w:sz="4" w:space="0" w:color="auto"/>
            </w:tcBorders>
            <w:shd w:val="clear" w:color="auto" w:fill="D9D9D9" w:themeFill="background1" w:themeFillShade="D9"/>
            <w:vAlign w:val="center"/>
          </w:tcPr>
          <w:p w14:paraId="60C02F7E"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 kualifikimeve të të nxënit gjatë gjithë jetës (LLL)</w:t>
            </w:r>
          </w:p>
        </w:tc>
        <w:tc>
          <w:tcPr>
            <w:tcW w:w="463" w:type="pct"/>
            <w:tcBorders>
              <w:top w:val="double" w:sz="4" w:space="0" w:color="auto"/>
              <w:bottom w:val="double" w:sz="4" w:space="0" w:color="auto"/>
            </w:tcBorders>
            <w:shd w:val="clear" w:color="auto" w:fill="D9D9D9" w:themeFill="background1" w:themeFillShade="D9"/>
            <w:vAlign w:val="center"/>
          </w:tcPr>
          <w:p w14:paraId="47EAEC6F"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 validimit të të nxënit joformal dhe informal (VNJI)</w:t>
            </w:r>
          </w:p>
        </w:tc>
        <w:tc>
          <w:tcPr>
            <w:tcW w:w="432" w:type="pct"/>
            <w:tcBorders>
              <w:top w:val="double" w:sz="4" w:space="0" w:color="auto"/>
              <w:bottom w:val="double" w:sz="4" w:space="0" w:color="auto"/>
              <w:right w:val="double" w:sz="4" w:space="0" w:color="auto"/>
            </w:tcBorders>
            <w:shd w:val="clear" w:color="auto" w:fill="D9D9D9" w:themeFill="background1" w:themeFillShade="D9"/>
            <w:vAlign w:val="center"/>
          </w:tcPr>
          <w:p w14:paraId="1A7D3B3D"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A është përmbushur kriteri</w:t>
            </w:r>
          </w:p>
          <w:p w14:paraId="51564FA0"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(Po/Jo)</w:t>
            </w:r>
          </w:p>
        </w:tc>
      </w:tr>
      <w:tr w:rsidR="008412F5" w:rsidRPr="00327310" w14:paraId="7FF9361D" w14:textId="77777777" w:rsidTr="00764C61">
        <w:trPr>
          <w:trHeight w:val="20"/>
        </w:trPr>
        <w:tc>
          <w:tcPr>
            <w:tcW w:w="648" w:type="pct"/>
            <w:vMerge w:val="restart"/>
            <w:tcBorders>
              <w:top w:val="double" w:sz="4" w:space="0" w:color="auto"/>
              <w:left w:val="double" w:sz="4" w:space="0" w:color="auto"/>
            </w:tcBorders>
          </w:tcPr>
          <w:p w14:paraId="7856FCBB"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1.7.1 Hartimi dhe përdorimi i procedurave ligjore të ankimimit</w:t>
            </w:r>
          </w:p>
        </w:tc>
        <w:tc>
          <w:tcPr>
            <w:tcW w:w="1975" w:type="pct"/>
            <w:tcBorders>
              <w:top w:val="double" w:sz="4" w:space="0" w:color="auto"/>
            </w:tcBorders>
          </w:tcPr>
          <w:p w14:paraId="3C2A8D31" w14:textId="77777777" w:rsidR="008412F5" w:rsidRPr="00327310" w:rsidRDefault="008412F5" w:rsidP="00764C61">
            <w:pPr>
              <w:pStyle w:val="ListParagraph"/>
              <w:spacing w:after="0" w:line="240" w:lineRule="auto"/>
              <w:ind w:left="0"/>
              <w:jc w:val="both"/>
              <w:rPr>
                <w:rFonts w:ascii="Garamond" w:hAnsi="Garamond"/>
                <w:sz w:val="20"/>
                <w:szCs w:val="24"/>
                <w:lang w:val="sq-AL"/>
              </w:rPr>
            </w:pPr>
            <w:r w:rsidRPr="00327310">
              <w:rPr>
                <w:rFonts w:ascii="Garamond" w:hAnsi="Garamond"/>
                <w:sz w:val="20"/>
                <w:szCs w:val="24"/>
                <w:lang w:val="sq-AL"/>
              </w:rPr>
              <w:t xml:space="preserve">1.7.1.1 </w:t>
            </w:r>
            <w:r w:rsidRPr="00327310">
              <w:rPr>
                <w:rFonts w:ascii="Garamond" w:hAnsi="Garamond"/>
                <w:bCs/>
                <w:sz w:val="20"/>
                <w:szCs w:val="24"/>
                <w:lang w:val="sq-AL"/>
              </w:rPr>
              <w:t>(*) Drejtoria e ofruesit të AFP-së harton procedurat e ankimimit dhe informon të gjitha grupet e interesit mbi të drejtën e ankimimit, si dhe mbi procedurat dhe afatet kohore për ankimimin.</w:t>
            </w:r>
          </w:p>
        </w:tc>
        <w:tc>
          <w:tcPr>
            <w:tcW w:w="494" w:type="pct"/>
            <w:tcBorders>
              <w:top w:val="double" w:sz="4" w:space="0" w:color="auto"/>
            </w:tcBorders>
          </w:tcPr>
          <w:p w14:paraId="477762FF"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4" w:type="pct"/>
            <w:tcBorders>
              <w:top w:val="double" w:sz="4" w:space="0" w:color="auto"/>
            </w:tcBorders>
          </w:tcPr>
          <w:p w14:paraId="4A1DB471"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4" w:type="pct"/>
            <w:tcBorders>
              <w:top w:val="double" w:sz="4" w:space="0" w:color="auto"/>
            </w:tcBorders>
          </w:tcPr>
          <w:p w14:paraId="70A02ACA"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63" w:type="pct"/>
            <w:tcBorders>
              <w:top w:val="double" w:sz="4" w:space="0" w:color="auto"/>
            </w:tcBorders>
          </w:tcPr>
          <w:p w14:paraId="4B967C1F"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32" w:type="pct"/>
            <w:tcBorders>
              <w:top w:val="double" w:sz="4" w:space="0" w:color="auto"/>
              <w:right w:val="double" w:sz="4" w:space="0" w:color="auto"/>
            </w:tcBorders>
          </w:tcPr>
          <w:p w14:paraId="67248B19"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50435065" w14:textId="77777777" w:rsidTr="00764C61">
        <w:trPr>
          <w:trHeight w:val="20"/>
        </w:trPr>
        <w:tc>
          <w:tcPr>
            <w:tcW w:w="648" w:type="pct"/>
            <w:vMerge/>
            <w:tcBorders>
              <w:left w:val="double" w:sz="4" w:space="0" w:color="auto"/>
            </w:tcBorders>
          </w:tcPr>
          <w:p w14:paraId="169DF64A" w14:textId="77777777" w:rsidR="008412F5" w:rsidRPr="00327310" w:rsidRDefault="008412F5" w:rsidP="00764C61">
            <w:pPr>
              <w:pStyle w:val="ListParagraph"/>
              <w:spacing w:after="0" w:line="240" w:lineRule="auto"/>
              <w:ind w:left="0"/>
              <w:jc w:val="both"/>
              <w:rPr>
                <w:rFonts w:ascii="Garamond" w:hAnsi="Garamond"/>
                <w:sz w:val="20"/>
                <w:szCs w:val="24"/>
                <w:lang w:val="sq-AL"/>
              </w:rPr>
            </w:pPr>
          </w:p>
        </w:tc>
        <w:tc>
          <w:tcPr>
            <w:tcW w:w="1975" w:type="pct"/>
          </w:tcPr>
          <w:p w14:paraId="44FE432F" w14:textId="77777777" w:rsidR="008412F5" w:rsidRPr="00327310" w:rsidRDefault="008412F5" w:rsidP="00764C61">
            <w:pPr>
              <w:pStyle w:val="ListParagraph"/>
              <w:spacing w:after="0" w:line="240" w:lineRule="auto"/>
              <w:ind w:left="0"/>
              <w:jc w:val="both"/>
              <w:rPr>
                <w:rFonts w:ascii="Garamond" w:hAnsi="Garamond"/>
                <w:bCs/>
                <w:sz w:val="20"/>
                <w:szCs w:val="24"/>
                <w:lang w:val="sq-AL"/>
              </w:rPr>
            </w:pPr>
            <w:r w:rsidRPr="00327310">
              <w:rPr>
                <w:rFonts w:ascii="Garamond" w:hAnsi="Garamond"/>
                <w:sz w:val="20"/>
                <w:szCs w:val="24"/>
                <w:lang w:val="sq-AL"/>
              </w:rPr>
              <w:t>1.7.1.2</w:t>
            </w:r>
            <w:r w:rsidRPr="00327310">
              <w:rPr>
                <w:rFonts w:ascii="Garamond" w:hAnsi="Garamond"/>
                <w:bCs/>
                <w:sz w:val="20"/>
                <w:szCs w:val="24"/>
                <w:lang w:val="sq-AL"/>
              </w:rPr>
              <w:t xml:space="preserve"> (*) Organet drejtuese të ofruesit të AFP-së përmendin shprehimisht, në çdo vendim të marrë, procedurat dhe afatet kohore të ankimimit.</w:t>
            </w:r>
          </w:p>
        </w:tc>
        <w:tc>
          <w:tcPr>
            <w:tcW w:w="494" w:type="pct"/>
          </w:tcPr>
          <w:p w14:paraId="696434CB"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4" w:type="pct"/>
          </w:tcPr>
          <w:p w14:paraId="444A3DF7"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4" w:type="pct"/>
          </w:tcPr>
          <w:p w14:paraId="6F380DFC"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63" w:type="pct"/>
          </w:tcPr>
          <w:p w14:paraId="547D73E8"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32" w:type="pct"/>
            <w:tcBorders>
              <w:right w:val="double" w:sz="4" w:space="0" w:color="auto"/>
            </w:tcBorders>
          </w:tcPr>
          <w:p w14:paraId="6BD472C1"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05B67B57" w14:textId="77777777" w:rsidTr="00764C61">
        <w:trPr>
          <w:trHeight w:val="20"/>
        </w:trPr>
        <w:tc>
          <w:tcPr>
            <w:tcW w:w="648" w:type="pct"/>
            <w:vMerge/>
            <w:tcBorders>
              <w:left w:val="double" w:sz="4" w:space="0" w:color="auto"/>
            </w:tcBorders>
          </w:tcPr>
          <w:p w14:paraId="41701D51" w14:textId="77777777" w:rsidR="008412F5" w:rsidRPr="00327310" w:rsidRDefault="008412F5" w:rsidP="00764C61">
            <w:pPr>
              <w:pStyle w:val="ListParagraph"/>
              <w:spacing w:after="0" w:line="240" w:lineRule="auto"/>
              <w:ind w:left="0"/>
              <w:jc w:val="both"/>
              <w:rPr>
                <w:rFonts w:ascii="Garamond" w:hAnsi="Garamond"/>
                <w:sz w:val="20"/>
                <w:szCs w:val="24"/>
                <w:lang w:val="sq-AL"/>
              </w:rPr>
            </w:pPr>
          </w:p>
        </w:tc>
        <w:tc>
          <w:tcPr>
            <w:tcW w:w="1975" w:type="pct"/>
          </w:tcPr>
          <w:p w14:paraId="0521721D" w14:textId="77777777" w:rsidR="008412F5" w:rsidRPr="00327310" w:rsidRDefault="008412F5" w:rsidP="00764C61">
            <w:pPr>
              <w:pStyle w:val="ListParagraph"/>
              <w:spacing w:after="0" w:line="240" w:lineRule="auto"/>
              <w:ind w:left="0"/>
              <w:jc w:val="both"/>
              <w:rPr>
                <w:rFonts w:ascii="Garamond" w:hAnsi="Garamond"/>
                <w:bCs/>
                <w:sz w:val="20"/>
                <w:szCs w:val="24"/>
                <w:lang w:val="sq-AL"/>
              </w:rPr>
            </w:pPr>
            <w:r w:rsidRPr="00327310">
              <w:rPr>
                <w:rFonts w:ascii="Garamond" w:hAnsi="Garamond"/>
                <w:sz w:val="20"/>
                <w:szCs w:val="24"/>
                <w:lang w:val="sq-AL"/>
              </w:rPr>
              <w:t>1.7.1.3</w:t>
            </w:r>
            <w:r w:rsidRPr="00327310">
              <w:rPr>
                <w:rFonts w:ascii="Garamond" w:hAnsi="Garamond"/>
                <w:bCs/>
                <w:sz w:val="20"/>
                <w:szCs w:val="24"/>
                <w:lang w:val="sq-AL"/>
              </w:rPr>
              <w:t xml:space="preserve"> (*) Nxënësit, mësimdhënësit, prindërit dhe grupet e tjera të interesit mund të ankimojnë vendimet e organeve drejtuese të ofruesit të AFP-së, bazuar në legjislacionin në fuqi, në lidhje me regjistrimin, vlerësimin dhe zbatimin e të gjitha llojeve të kualifikimeve të AFP-së.</w:t>
            </w:r>
          </w:p>
        </w:tc>
        <w:tc>
          <w:tcPr>
            <w:tcW w:w="494" w:type="pct"/>
          </w:tcPr>
          <w:p w14:paraId="6F237329"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4" w:type="pct"/>
          </w:tcPr>
          <w:p w14:paraId="3E05E7AD"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4" w:type="pct"/>
          </w:tcPr>
          <w:p w14:paraId="0395B463"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63" w:type="pct"/>
          </w:tcPr>
          <w:p w14:paraId="2135F9F5"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32" w:type="pct"/>
            <w:tcBorders>
              <w:right w:val="double" w:sz="4" w:space="0" w:color="auto"/>
            </w:tcBorders>
          </w:tcPr>
          <w:p w14:paraId="2EC2E420"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6F01797C" w14:textId="77777777" w:rsidTr="00764C61">
        <w:trPr>
          <w:trHeight w:val="20"/>
        </w:trPr>
        <w:tc>
          <w:tcPr>
            <w:tcW w:w="648" w:type="pct"/>
            <w:vMerge/>
            <w:tcBorders>
              <w:left w:val="double" w:sz="4" w:space="0" w:color="auto"/>
            </w:tcBorders>
          </w:tcPr>
          <w:p w14:paraId="44A678AB" w14:textId="77777777" w:rsidR="008412F5" w:rsidRPr="00327310" w:rsidRDefault="008412F5" w:rsidP="00764C61">
            <w:pPr>
              <w:pStyle w:val="ListParagraph"/>
              <w:spacing w:after="0" w:line="240" w:lineRule="auto"/>
              <w:ind w:left="0"/>
              <w:jc w:val="both"/>
              <w:rPr>
                <w:rFonts w:ascii="Garamond" w:hAnsi="Garamond"/>
                <w:sz w:val="20"/>
                <w:szCs w:val="24"/>
                <w:lang w:val="sq-AL"/>
              </w:rPr>
            </w:pPr>
          </w:p>
        </w:tc>
        <w:tc>
          <w:tcPr>
            <w:tcW w:w="1975" w:type="pct"/>
          </w:tcPr>
          <w:p w14:paraId="41701D93" w14:textId="77777777" w:rsidR="008412F5" w:rsidRPr="00327310" w:rsidRDefault="008412F5" w:rsidP="00764C61">
            <w:pPr>
              <w:pStyle w:val="ListParagraph"/>
              <w:spacing w:after="0" w:line="240" w:lineRule="auto"/>
              <w:ind w:left="0"/>
              <w:jc w:val="both"/>
              <w:rPr>
                <w:rFonts w:ascii="Garamond" w:hAnsi="Garamond"/>
                <w:bCs/>
                <w:sz w:val="20"/>
                <w:szCs w:val="24"/>
                <w:lang w:val="sq-AL"/>
              </w:rPr>
            </w:pPr>
            <w:r w:rsidRPr="00327310">
              <w:rPr>
                <w:rFonts w:ascii="Garamond" w:hAnsi="Garamond"/>
                <w:sz w:val="20"/>
                <w:szCs w:val="24"/>
                <w:lang w:val="sq-AL"/>
              </w:rPr>
              <w:t>1.7.1.4</w:t>
            </w:r>
            <w:r w:rsidRPr="00327310">
              <w:rPr>
                <w:rFonts w:ascii="Garamond" w:hAnsi="Garamond"/>
                <w:bCs/>
                <w:sz w:val="20"/>
                <w:szCs w:val="24"/>
                <w:lang w:val="sq-AL"/>
              </w:rPr>
              <w:t xml:space="preserve"> (*) Drejtoria e ofruesit të AFP-së mban të dhëna të sakta për të gjitha ankimimet, si dhe për zgjidhjet e gjetura dhe veprimet e ndërmarra. </w:t>
            </w:r>
          </w:p>
        </w:tc>
        <w:tc>
          <w:tcPr>
            <w:tcW w:w="494" w:type="pct"/>
          </w:tcPr>
          <w:p w14:paraId="052B67FF"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94" w:type="pct"/>
          </w:tcPr>
          <w:p w14:paraId="6D416213"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4" w:type="pct"/>
          </w:tcPr>
          <w:p w14:paraId="005C54D6"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63" w:type="pct"/>
          </w:tcPr>
          <w:p w14:paraId="712F58CD" w14:textId="77777777" w:rsidR="008412F5" w:rsidRPr="00327310" w:rsidRDefault="008412F5" w:rsidP="00764C61">
            <w:pPr>
              <w:pStyle w:val="ListParagraph"/>
              <w:spacing w:after="0" w:line="240" w:lineRule="auto"/>
              <w:ind w:left="0"/>
              <w:rPr>
                <w:rFonts w:ascii="Garamond" w:hAnsi="Garamond"/>
                <w:b/>
                <w:bCs/>
                <w:sz w:val="20"/>
                <w:szCs w:val="24"/>
                <w:lang w:val="sq-AL"/>
              </w:rPr>
            </w:pPr>
            <w:r w:rsidRPr="00327310">
              <w:rPr>
                <w:rFonts w:ascii="Garamond" w:hAnsi="Garamond"/>
                <w:sz w:val="20"/>
                <w:szCs w:val="24"/>
                <w:lang w:val="sq-AL"/>
              </w:rPr>
              <w:t>√</w:t>
            </w:r>
          </w:p>
        </w:tc>
        <w:tc>
          <w:tcPr>
            <w:tcW w:w="432" w:type="pct"/>
            <w:tcBorders>
              <w:right w:val="double" w:sz="4" w:space="0" w:color="auto"/>
            </w:tcBorders>
          </w:tcPr>
          <w:p w14:paraId="406EA01E" w14:textId="77777777" w:rsidR="008412F5" w:rsidRPr="00327310" w:rsidRDefault="008412F5" w:rsidP="00764C61">
            <w:pPr>
              <w:pStyle w:val="ListParagraph"/>
              <w:spacing w:after="0" w:line="240" w:lineRule="auto"/>
              <w:ind w:left="0"/>
              <w:rPr>
                <w:rFonts w:ascii="Garamond" w:hAnsi="Garamond"/>
                <w:sz w:val="20"/>
                <w:szCs w:val="24"/>
                <w:lang w:val="sq-AL"/>
              </w:rPr>
            </w:pPr>
          </w:p>
        </w:tc>
      </w:tr>
    </w:tbl>
    <w:p w14:paraId="269E7B0A" w14:textId="77777777" w:rsidR="008412F5" w:rsidRPr="00327310" w:rsidRDefault="008412F5" w:rsidP="008412F5">
      <w:pPr>
        <w:pStyle w:val="ListParagraph"/>
        <w:ind w:firstLine="284"/>
        <w:jc w:val="both"/>
        <w:rPr>
          <w:rFonts w:ascii="Garamond" w:hAnsi="Garamond"/>
          <w:sz w:val="24"/>
          <w:szCs w:val="24"/>
          <w:lang w:val="sq-AL"/>
        </w:rPr>
      </w:pPr>
    </w:p>
    <w:p w14:paraId="28E3052D" w14:textId="77777777" w:rsidR="008412F5" w:rsidRPr="00327310" w:rsidRDefault="008412F5" w:rsidP="008412F5">
      <w:pPr>
        <w:pStyle w:val="ListParagraph"/>
        <w:ind w:firstLine="284"/>
        <w:jc w:val="both"/>
        <w:rPr>
          <w:rFonts w:ascii="Garamond" w:hAnsi="Garamond"/>
          <w:b/>
          <w:sz w:val="24"/>
          <w:szCs w:val="24"/>
          <w:lang w:val="sq-AL"/>
        </w:rPr>
      </w:pPr>
      <w:bookmarkStart w:id="8" w:name="_Toc62649092"/>
      <w:r w:rsidRPr="00327310">
        <w:rPr>
          <w:rFonts w:ascii="Garamond" w:hAnsi="Garamond"/>
          <w:b/>
          <w:sz w:val="24"/>
          <w:szCs w:val="24"/>
          <w:lang w:val="sq-AL"/>
        </w:rPr>
        <w:t>Fusha 2. Marrëdhënia dhe bashkëpunimi</w:t>
      </w:r>
      <w:bookmarkEnd w:id="8"/>
    </w:p>
    <w:p w14:paraId="284A6152" w14:textId="77777777" w:rsidR="008412F5" w:rsidRPr="00327310" w:rsidRDefault="008412F5" w:rsidP="008412F5">
      <w:pPr>
        <w:pStyle w:val="ListParagraph"/>
        <w:ind w:firstLine="284"/>
        <w:rPr>
          <w:rFonts w:ascii="Garamond" w:hAnsi="Garamond"/>
          <w:b/>
          <w:sz w:val="24"/>
          <w:szCs w:val="24"/>
          <w:lang w:val="sq-AL"/>
        </w:rPr>
      </w:pPr>
      <w:bookmarkStart w:id="9" w:name="_Toc44689557"/>
      <w:r w:rsidRPr="00327310">
        <w:rPr>
          <w:rFonts w:ascii="Garamond" w:hAnsi="Garamond"/>
          <w:b/>
          <w:sz w:val="24"/>
          <w:szCs w:val="24"/>
          <w:lang w:val="sq-AL"/>
        </w:rPr>
        <w:t>Nënfusha 2.1 Marrëdhëniet dhe bashkëpunimi me qeverisjen qendrore, njësitë rajonale dhe vendore për çështjet sociale dhe të arsimit</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5571"/>
        <w:gridCol w:w="1357"/>
        <w:gridCol w:w="1364"/>
        <w:gridCol w:w="1364"/>
        <w:gridCol w:w="1248"/>
        <w:gridCol w:w="1252"/>
      </w:tblGrid>
      <w:tr w:rsidR="008412F5" w:rsidRPr="00327310" w14:paraId="265D3FF5" w14:textId="77777777" w:rsidTr="00764C61">
        <w:trPr>
          <w:trHeight w:val="20"/>
          <w:jc w:val="center"/>
        </w:trPr>
        <w:tc>
          <w:tcPr>
            <w:tcW w:w="644" w:type="pct"/>
            <w:tcBorders>
              <w:top w:val="double" w:sz="4" w:space="0" w:color="auto"/>
              <w:left w:val="double" w:sz="4" w:space="0" w:color="auto"/>
            </w:tcBorders>
            <w:shd w:val="clear" w:color="auto" w:fill="D9D9D9" w:themeFill="background1" w:themeFillShade="D9"/>
            <w:vAlign w:val="center"/>
          </w:tcPr>
          <w:p w14:paraId="488455B0"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TREGUESIT</w:t>
            </w:r>
          </w:p>
        </w:tc>
        <w:tc>
          <w:tcPr>
            <w:tcW w:w="2008" w:type="pct"/>
            <w:tcBorders>
              <w:top w:val="double" w:sz="4" w:space="0" w:color="auto"/>
            </w:tcBorders>
            <w:shd w:val="clear" w:color="auto" w:fill="D9D9D9" w:themeFill="background1" w:themeFillShade="D9"/>
            <w:vAlign w:val="center"/>
          </w:tcPr>
          <w:p w14:paraId="17D8250B"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Kriteret</w:t>
            </w:r>
          </w:p>
        </w:tc>
        <w:tc>
          <w:tcPr>
            <w:tcW w:w="495" w:type="pct"/>
            <w:tcBorders>
              <w:top w:val="double" w:sz="4" w:space="0" w:color="auto"/>
            </w:tcBorders>
            <w:shd w:val="clear" w:color="auto" w:fill="D9D9D9" w:themeFill="background1" w:themeFillShade="D9"/>
            <w:vAlign w:val="center"/>
          </w:tcPr>
          <w:p w14:paraId="5A11E43F"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p>
          <w:p w14:paraId="7B6E2923"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w:t>
            </w:r>
          </w:p>
          <w:p w14:paraId="4C2D2544"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rinj të AFP-së</w:t>
            </w:r>
          </w:p>
        </w:tc>
        <w:tc>
          <w:tcPr>
            <w:tcW w:w="469" w:type="pct"/>
            <w:tcBorders>
              <w:top w:val="double" w:sz="4" w:space="0" w:color="auto"/>
            </w:tcBorders>
            <w:shd w:val="clear" w:color="auto" w:fill="D9D9D9" w:themeFill="background1" w:themeFillShade="D9"/>
            <w:vAlign w:val="center"/>
          </w:tcPr>
          <w:p w14:paraId="7AFB7DC9"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 xml:space="preserve">Ofruesit e kualifikimeve </w:t>
            </w:r>
            <w:r>
              <w:rPr>
                <w:rFonts w:ascii="Garamond" w:hAnsi="Garamond"/>
                <w:b/>
                <w:bCs/>
                <w:sz w:val="20"/>
                <w:szCs w:val="24"/>
                <w:lang w:val="sq-AL"/>
              </w:rPr>
              <w:t>2–5 të KSHK-së (arsimi profesional formal)</w:t>
            </w:r>
          </w:p>
        </w:tc>
        <w:tc>
          <w:tcPr>
            <w:tcW w:w="495" w:type="pct"/>
            <w:tcBorders>
              <w:top w:val="double" w:sz="4" w:space="0" w:color="auto"/>
            </w:tcBorders>
            <w:shd w:val="clear" w:color="auto" w:fill="D9D9D9" w:themeFill="background1" w:themeFillShade="D9"/>
            <w:vAlign w:val="center"/>
          </w:tcPr>
          <w:p w14:paraId="1D15914A"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 kualifikimeve të të nxënit gjatë gjithë jetës (LLL)</w:t>
            </w:r>
          </w:p>
        </w:tc>
        <w:tc>
          <w:tcPr>
            <w:tcW w:w="458" w:type="pct"/>
            <w:tcBorders>
              <w:top w:val="double" w:sz="4" w:space="0" w:color="auto"/>
            </w:tcBorders>
            <w:shd w:val="clear" w:color="auto" w:fill="D9D9D9" w:themeFill="background1" w:themeFillShade="D9"/>
            <w:vAlign w:val="center"/>
          </w:tcPr>
          <w:p w14:paraId="5F7394BB"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 validimit të të nxënit joformal dhe informal (VNJI)</w:t>
            </w:r>
          </w:p>
        </w:tc>
        <w:tc>
          <w:tcPr>
            <w:tcW w:w="431" w:type="pct"/>
            <w:tcBorders>
              <w:top w:val="double" w:sz="4" w:space="0" w:color="auto"/>
              <w:right w:val="double" w:sz="4" w:space="0" w:color="auto"/>
            </w:tcBorders>
            <w:shd w:val="clear" w:color="auto" w:fill="D9D9D9" w:themeFill="background1" w:themeFillShade="D9"/>
            <w:vAlign w:val="center"/>
          </w:tcPr>
          <w:p w14:paraId="701DA365"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A është përmbushur kriteri</w:t>
            </w:r>
          </w:p>
          <w:p w14:paraId="3C125540"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(Po/Jo)</w:t>
            </w:r>
          </w:p>
        </w:tc>
      </w:tr>
      <w:tr w:rsidR="008412F5" w:rsidRPr="00327310" w14:paraId="172C91D1" w14:textId="77777777" w:rsidTr="00764C61">
        <w:trPr>
          <w:trHeight w:val="20"/>
          <w:jc w:val="center"/>
        </w:trPr>
        <w:tc>
          <w:tcPr>
            <w:tcW w:w="644" w:type="pct"/>
            <w:vMerge w:val="restart"/>
            <w:tcBorders>
              <w:top w:val="double" w:sz="4" w:space="0" w:color="auto"/>
              <w:left w:val="double" w:sz="4" w:space="0" w:color="auto"/>
            </w:tcBorders>
          </w:tcPr>
          <w:p w14:paraId="626B6D53"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2.1.1 Bashkëpunimi me institucionet qendrore</w:t>
            </w:r>
          </w:p>
        </w:tc>
        <w:tc>
          <w:tcPr>
            <w:tcW w:w="2008" w:type="pct"/>
            <w:tcBorders>
              <w:top w:val="double" w:sz="4" w:space="0" w:color="auto"/>
            </w:tcBorders>
          </w:tcPr>
          <w:p w14:paraId="4E4DE264" w14:textId="77777777" w:rsidR="008412F5" w:rsidRPr="00327310" w:rsidRDefault="008412F5" w:rsidP="00764C61">
            <w:pPr>
              <w:pStyle w:val="ListParagraph"/>
              <w:spacing w:after="0" w:line="240" w:lineRule="auto"/>
              <w:ind w:left="0"/>
              <w:rPr>
                <w:rFonts w:ascii="Garamond" w:hAnsi="Garamond"/>
                <w:bCs/>
                <w:sz w:val="20"/>
                <w:szCs w:val="24"/>
                <w:lang w:val="sq-AL"/>
              </w:rPr>
            </w:pPr>
            <w:r w:rsidRPr="00327310">
              <w:rPr>
                <w:rFonts w:ascii="Garamond" w:hAnsi="Garamond"/>
                <w:bCs/>
                <w:sz w:val="20"/>
                <w:szCs w:val="24"/>
                <w:lang w:val="sq-AL"/>
              </w:rPr>
              <w:t>2.1.1.1</w:t>
            </w:r>
            <w:r w:rsidRPr="00327310">
              <w:rPr>
                <w:rFonts w:ascii="Garamond" w:hAnsi="Garamond"/>
                <w:sz w:val="20"/>
                <w:szCs w:val="24"/>
                <w:lang w:val="sq-AL"/>
              </w:rPr>
              <w:t xml:space="preserve"> </w:t>
            </w:r>
            <w:r w:rsidRPr="00327310">
              <w:rPr>
                <w:rFonts w:ascii="Garamond" w:hAnsi="Garamond"/>
                <w:bCs/>
                <w:sz w:val="20"/>
                <w:szCs w:val="24"/>
                <w:lang w:val="sq-AL"/>
              </w:rPr>
              <w:t>(*) Drejtoria dhe stafi përgjegjës i ofruesit të AFP-së raportojnë rregullisht pranë institucioneve qendrore, sipas kuadrit ligjor në fuqi, për të gjitha llojet e ofertave arsimore.</w:t>
            </w:r>
          </w:p>
        </w:tc>
        <w:tc>
          <w:tcPr>
            <w:tcW w:w="495" w:type="pct"/>
            <w:tcBorders>
              <w:top w:val="double" w:sz="4" w:space="0" w:color="auto"/>
            </w:tcBorders>
          </w:tcPr>
          <w:p w14:paraId="1CF2FCFB"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69" w:type="pct"/>
            <w:tcBorders>
              <w:top w:val="double" w:sz="4" w:space="0" w:color="auto"/>
            </w:tcBorders>
          </w:tcPr>
          <w:p w14:paraId="30DFFD2E"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5" w:type="pct"/>
            <w:tcBorders>
              <w:top w:val="double" w:sz="4" w:space="0" w:color="auto"/>
            </w:tcBorders>
          </w:tcPr>
          <w:p w14:paraId="1C0098F1"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58" w:type="pct"/>
            <w:tcBorders>
              <w:top w:val="double" w:sz="4" w:space="0" w:color="auto"/>
            </w:tcBorders>
          </w:tcPr>
          <w:p w14:paraId="5DF8171D"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31" w:type="pct"/>
            <w:tcBorders>
              <w:top w:val="double" w:sz="4" w:space="0" w:color="auto"/>
              <w:right w:val="double" w:sz="4" w:space="0" w:color="auto"/>
            </w:tcBorders>
          </w:tcPr>
          <w:p w14:paraId="119B8AE8"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7ECE00DC" w14:textId="77777777" w:rsidTr="00764C61">
        <w:trPr>
          <w:trHeight w:val="20"/>
          <w:jc w:val="center"/>
        </w:trPr>
        <w:tc>
          <w:tcPr>
            <w:tcW w:w="644" w:type="pct"/>
            <w:vMerge/>
            <w:tcBorders>
              <w:left w:val="double" w:sz="4" w:space="0" w:color="auto"/>
            </w:tcBorders>
          </w:tcPr>
          <w:p w14:paraId="23E2C6DC"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2008" w:type="pct"/>
          </w:tcPr>
          <w:p w14:paraId="4DF3A7C9" w14:textId="77777777" w:rsidR="008412F5" w:rsidRPr="00327310" w:rsidRDefault="008412F5" w:rsidP="00764C61">
            <w:pPr>
              <w:pStyle w:val="ListParagraph"/>
              <w:spacing w:after="0" w:line="240" w:lineRule="auto"/>
              <w:ind w:left="0"/>
              <w:rPr>
                <w:rFonts w:ascii="Garamond" w:hAnsi="Garamond"/>
                <w:bCs/>
                <w:sz w:val="20"/>
                <w:szCs w:val="24"/>
                <w:lang w:val="sq-AL"/>
              </w:rPr>
            </w:pPr>
            <w:r w:rsidRPr="00327310">
              <w:rPr>
                <w:rFonts w:ascii="Garamond" w:hAnsi="Garamond"/>
                <w:bCs/>
                <w:sz w:val="20"/>
                <w:szCs w:val="24"/>
                <w:lang w:val="sq-AL"/>
              </w:rPr>
              <w:t>2.1.1.2</w:t>
            </w:r>
            <w:r w:rsidRPr="00327310">
              <w:rPr>
                <w:rFonts w:ascii="Garamond" w:hAnsi="Garamond"/>
                <w:sz w:val="20"/>
                <w:szCs w:val="24"/>
                <w:lang w:val="sq-AL"/>
              </w:rPr>
              <w:t xml:space="preserve"> </w:t>
            </w:r>
            <w:r w:rsidRPr="00327310">
              <w:rPr>
                <w:rFonts w:ascii="Garamond" w:hAnsi="Garamond"/>
                <w:bCs/>
                <w:sz w:val="20"/>
                <w:szCs w:val="24"/>
                <w:lang w:val="sq-AL"/>
              </w:rPr>
              <w:t>(*) Drejtoria e ofruesit të AFP-së komunikon rregullisht me institucionet qendrore përgjegjëse për qeverisjen, zhvillimin, menaxhimin dhe vlerësimin e sistemit të AFP-së.</w:t>
            </w:r>
          </w:p>
        </w:tc>
        <w:tc>
          <w:tcPr>
            <w:tcW w:w="495" w:type="pct"/>
          </w:tcPr>
          <w:p w14:paraId="177896E6"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69" w:type="pct"/>
          </w:tcPr>
          <w:p w14:paraId="0841B6F9"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5" w:type="pct"/>
          </w:tcPr>
          <w:p w14:paraId="5C151186"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58" w:type="pct"/>
          </w:tcPr>
          <w:p w14:paraId="2F4E1BD2"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31" w:type="pct"/>
            <w:tcBorders>
              <w:right w:val="double" w:sz="4" w:space="0" w:color="auto"/>
            </w:tcBorders>
          </w:tcPr>
          <w:p w14:paraId="628E0E78"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585FBA14" w14:textId="77777777" w:rsidTr="00764C61">
        <w:trPr>
          <w:trHeight w:val="20"/>
          <w:jc w:val="center"/>
        </w:trPr>
        <w:tc>
          <w:tcPr>
            <w:tcW w:w="644" w:type="pct"/>
            <w:vMerge w:val="restart"/>
            <w:tcBorders>
              <w:left w:val="double" w:sz="4" w:space="0" w:color="auto"/>
            </w:tcBorders>
          </w:tcPr>
          <w:p w14:paraId="4003EE02"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2.1.2 Bashkëpunimi me institucionet e vetëqeverisjes vendore</w:t>
            </w:r>
          </w:p>
        </w:tc>
        <w:tc>
          <w:tcPr>
            <w:tcW w:w="2008" w:type="pct"/>
          </w:tcPr>
          <w:p w14:paraId="71CEA6C1" w14:textId="77777777" w:rsidR="008412F5" w:rsidRPr="00327310" w:rsidRDefault="008412F5" w:rsidP="00764C61">
            <w:pPr>
              <w:pStyle w:val="ListParagraph"/>
              <w:spacing w:after="0" w:line="240" w:lineRule="auto"/>
              <w:ind w:left="0"/>
              <w:rPr>
                <w:rFonts w:ascii="Garamond" w:hAnsi="Garamond"/>
                <w:bCs/>
                <w:sz w:val="20"/>
                <w:szCs w:val="24"/>
                <w:lang w:val="sq-AL"/>
              </w:rPr>
            </w:pPr>
            <w:r w:rsidRPr="00327310">
              <w:rPr>
                <w:rFonts w:ascii="Garamond" w:hAnsi="Garamond"/>
                <w:bCs/>
                <w:sz w:val="20"/>
                <w:szCs w:val="24"/>
                <w:lang w:val="sq-AL"/>
              </w:rPr>
              <w:t>2.1.2.1</w:t>
            </w:r>
            <w:r w:rsidRPr="00327310">
              <w:rPr>
                <w:rFonts w:ascii="Garamond" w:hAnsi="Garamond"/>
                <w:sz w:val="20"/>
                <w:szCs w:val="24"/>
                <w:lang w:val="sq-AL"/>
              </w:rPr>
              <w:t xml:space="preserve"> </w:t>
            </w:r>
            <w:r w:rsidRPr="00327310">
              <w:rPr>
                <w:rFonts w:ascii="Garamond" w:hAnsi="Garamond"/>
                <w:bCs/>
                <w:sz w:val="20"/>
                <w:szCs w:val="24"/>
                <w:lang w:val="sq-AL"/>
              </w:rPr>
              <w:t>(*) Drejtoria e ofruesit të AFP-së dhe stafi përgjegjës raportojnë pranë institucioneve të vetëqeverisjes vendore, sipas kuadrit ligjor në fuqi, për të gjitha llojet e ofertave arsimore.</w:t>
            </w:r>
          </w:p>
        </w:tc>
        <w:tc>
          <w:tcPr>
            <w:tcW w:w="495" w:type="pct"/>
          </w:tcPr>
          <w:p w14:paraId="1FE026C3"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69" w:type="pct"/>
          </w:tcPr>
          <w:p w14:paraId="753BC900"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5" w:type="pct"/>
          </w:tcPr>
          <w:p w14:paraId="119AEDC1"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58" w:type="pct"/>
          </w:tcPr>
          <w:p w14:paraId="7F9FB630"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31" w:type="pct"/>
            <w:tcBorders>
              <w:right w:val="double" w:sz="4" w:space="0" w:color="auto"/>
            </w:tcBorders>
          </w:tcPr>
          <w:p w14:paraId="2D1D4EAB"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76E43FF0" w14:textId="77777777" w:rsidTr="00764C61">
        <w:trPr>
          <w:trHeight w:val="20"/>
          <w:jc w:val="center"/>
        </w:trPr>
        <w:tc>
          <w:tcPr>
            <w:tcW w:w="644" w:type="pct"/>
            <w:vMerge/>
            <w:tcBorders>
              <w:left w:val="double" w:sz="4" w:space="0" w:color="auto"/>
            </w:tcBorders>
          </w:tcPr>
          <w:p w14:paraId="6B7287CD"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2008" w:type="pct"/>
          </w:tcPr>
          <w:p w14:paraId="23D0AAF3" w14:textId="77777777" w:rsidR="008412F5" w:rsidRPr="00327310" w:rsidRDefault="008412F5" w:rsidP="00764C61">
            <w:pPr>
              <w:pStyle w:val="ListParagraph"/>
              <w:spacing w:after="0" w:line="240" w:lineRule="auto"/>
              <w:ind w:left="0"/>
              <w:rPr>
                <w:rFonts w:ascii="Garamond" w:hAnsi="Garamond"/>
                <w:bCs/>
                <w:sz w:val="20"/>
                <w:szCs w:val="24"/>
                <w:lang w:val="sq-AL"/>
              </w:rPr>
            </w:pPr>
            <w:r w:rsidRPr="00327310">
              <w:rPr>
                <w:rFonts w:ascii="Garamond" w:hAnsi="Garamond"/>
                <w:bCs/>
                <w:sz w:val="20"/>
                <w:szCs w:val="24"/>
                <w:lang w:val="sq-AL"/>
              </w:rPr>
              <w:t>2.1.2.2</w:t>
            </w:r>
            <w:r w:rsidRPr="00327310">
              <w:rPr>
                <w:rFonts w:ascii="Garamond" w:hAnsi="Garamond"/>
                <w:sz w:val="20"/>
                <w:szCs w:val="24"/>
                <w:lang w:val="sq-AL"/>
              </w:rPr>
              <w:t xml:space="preserve"> </w:t>
            </w:r>
            <w:r w:rsidRPr="00327310">
              <w:rPr>
                <w:rFonts w:ascii="Garamond" w:hAnsi="Garamond"/>
                <w:bCs/>
                <w:sz w:val="20"/>
                <w:szCs w:val="24"/>
                <w:lang w:val="sq-AL"/>
              </w:rPr>
              <w:t>(*) Drejtoria e ofruesit të AFP-së komunikon rregullisht me institucionet e vetëqeverisjes vendore përgjegjëse për qeverisjen, zhvillimin, menaxhimin dhe vlerësimin e sistemit të AFP-së.</w:t>
            </w:r>
          </w:p>
        </w:tc>
        <w:tc>
          <w:tcPr>
            <w:tcW w:w="495" w:type="pct"/>
          </w:tcPr>
          <w:p w14:paraId="173B0046"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69" w:type="pct"/>
          </w:tcPr>
          <w:p w14:paraId="4D8648A8"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95" w:type="pct"/>
          </w:tcPr>
          <w:p w14:paraId="339E3CF5"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58" w:type="pct"/>
          </w:tcPr>
          <w:p w14:paraId="58955A5E"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p w14:paraId="74B8C068" w14:textId="77777777" w:rsidR="008412F5" w:rsidRPr="00327310" w:rsidRDefault="008412F5" w:rsidP="00764C61">
            <w:pPr>
              <w:pStyle w:val="ListParagraph"/>
              <w:spacing w:after="0" w:line="240" w:lineRule="auto"/>
              <w:ind w:left="0"/>
              <w:rPr>
                <w:rFonts w:ascii="Garamond" w:hAnsi="Garamond"/>
                <w:sz w:val="20"/>
                <w:szCs w:val="24"/>
                <w:lang w:val="sq-AL"/>
              </w:rPr>
            </w:pPr>
          </w:p>
          <w:p w14:paraId="6EBA4413"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31" w:type="pct"/>
            <w:tcBorders>
              <w:right w:val="double" w:sz="4" w:space="0" w:color="auto"/>
            </w:tcBorders>
          </w:tcPr>
          <w:p w14:paraId="7AD27520" w14:textId="77777777" w:rsidR="008412F5" w:rsidRPr="00327310" w:rsidRDefault="008412F5" w:rsidP="00764C61">
            <w:pPr>
              <w:pStyle w:val="ListParagraph"/>
              <w:spacing w:after="0" w:line="240" w:lineRule="auto"/>
              <w:ind w:left="0"/>
              <w:rPr>
                <w:rFonts w:ascii="Garamond" w:hAnsi="Garamond"/>
                <w:sz w:val="20"/>
                <w:szCs w:val="24"/>
                <w:lang w:val="sq-AL"/>
              </w:rPr>
            </w:pPr>
          </w:p>
        </w:tc>
      </w:tr>
    </w:tbl>
    <w:p w14:paraId="2D75C902" w14:textId="77777777" w:rsidR="008412F5" w:rsidRPr="00327310" w:rsidRDefault="008412F5" w:rsidP="008412F5">
      <w:pPr>
        <w:pStyle w:val="ListParagraph"/>
        <w:ind w:firstLine="284"/>
        <w:jc w:val="both"/>
        <w:rPr>
          <w:rFonts w:ascii="Garamond" w:hAnsi="Garamond"/>
          <w:b/>
          <w:bCs/>
          <w:sz w:val="24"/>
          <w:szCs w:val="24"/>
          <w:lang w:val="sq-AL"/>
        </w:rPr>
      </w:pPr>
    </w:p>
    <w:p w14:paraId="1AAD1E15" w14:textId="77777777" w:rsidR="008412F5" w:rsidRDefault="008412F5" w:rsidP="008412F5">
      <w:pPr>
        <w:pStyle w:val="ListParagraph"/>
        <w:ind w:firstLine="284"/>
        <w:jc w:val="both"/>
        <w:rPr>
          <w:rFonts w:ascii="Garamond" w:hAnsi="Garamond"/>
          <w:b/>
          <w:sz w:val="24"/>
          <w:szCs w:val="24"/>
          <w:lang w:val="sq-AL"/>
        </w:rPr>
      </w:pPr>
      <w:bookmarkStart w:id="10" w:name="_Toc44689558"/>
    </w:p>
    <w:p w14:paraId="7E67C29F" w14:textId="77777777" w:rsidR="008412F5" w:rsidRDefault="008412F5" w:rsidP="008412F5">
      <w:pPr>
        <w:pStyle w:val="ListParagraph"/>
        <w:ind w:firstLine="284"/>
        <w:jc w:val="both"/>
        <w:rPr>
          <w:rFonts w:ascii="Garamond" w:hAnsi="Garamond"/>
          <w:b/>
          <w:sz w:val="24"/>
          <w:szCs w:val="24"/>
          <w:lang w:val="sq-AL"/>
        </w:rPr>
      </w:pPr>
    </w:p>
    <w:p w14:paraId="6DA25A66" w14:textId="77777777" w:rsidR="008412F5" w:rsidRDefault="008412F5" w:rsidP="008412F5">
      <w:pPr>
        <w:pStyle w:val="ListParagraph"/>
        <w:ind w:firstLine="284"/>
        <w:jc w:val="both"/>
        <w:rPr>
          <w:rFonts w:ascii="Garamond" w:hAnsi="Garamond"/>
          <w:b/>
          <w:sz w:val="24"/>
          <w:szCs w:val="24"/>
          <w:lang w:val="sq-AL"/>
        </w:rPr>
      </w:pPr>
    </w:p>
    <w:p w14:paraId="0872F903" w14:textId="77777777" w:rsidR="008412F5" w:rsidRDefault="008412F5" w:rsidP="008412F5">
      <w:pPr>
        <w:pStyle w:val="ListParagraph"/>
        <w:ind w:firstLine="284"/>
        <w:jc w:val="both"/>
        <w:rPr>
          <w:rFonts w:ascii="Garamond" w:hAnsi="Garamond"/>
          <w:b/>
          <w:sz w:val="24"/>
          <w:szCs w:val="24"/>
          <w:lang w:val="sq-AL"/>
        </w:rPr>
      </w:pPr>
    </w:p>
    <w:p w14:paraId="3DC7A89B" w14:textId="77777777" w:rsidR="008412F5" w:rsidRDefault="008412F5" w:rsidP="008412F5">
      <w:pPr>
        <w:pStyle w:val="ListParagraph"/>
        <w:ind w:firstLine="284"/>
        <w:jc w:val="both"/>
        <w:rPr>
          <w:rFonts w:ascii="Garamond" w:hAnsi="Garamond"/>
          <w:b/>
          <w:sz w:val="24"/>
          <w:szCs w:val="24"/>
          <w:lang w:val="sq-AL"/>
        </w:rPr>
      </w:pPr>
    </w:p>
    <w:p w14:paraId="2F9C04D9" w14:textId="77777777" w:rsidR="008412F5" w:rsidRDefault="008412F5" w:rsidP="008412F5">
      <w:pPr>
        <w:pStyle w:val="ListParagraph"/>
        <w:ind w:firstLine="284"/>
        <w:jc w:val="both"/>
        <w:rPr>
          <w:rFonts w:ascii="Garamond" w:hAnsi="Garamond"/>
          <w:b/>
          <w:sz w:val="24"/>
          <w:szCs w:val="24"/>
          <w:lang w:val="sq-AL"/>
        </w:rPr>
      </w:pPr>
    </w:p>
    <w:p w14:paraId="0F72B7B3" w14:textId="77777777" w:rsidR="008412F5" w:rsidRDefault="008412F5" w:rsidP="008412F5">
      <w:pPr>
        <w:pStyle w:val="ListParagraph"/>
        <w:ind w:firstLine="284"/>
        <w:jc w:val="both"/>
        <w:rPr>
          <w:rFonts w:ascii="Garamond" w:hAnsi="Garamond"/>
          <w:b/>
          <w:sz w:val="24"/>
          <w:szCs w:val="24"/>
          <w:lang w:val="sq-AL"/>
        </w:rPr>
      </w:pPr>
    </w:p>
    <w:p w14:paraId="3EFE10B7" w14:textId="77777777" w:rsidR="008412F5" w:rsidRDefault="008412F5" w:rsidP="008412F5">
      <w:pPr>
        <w:pStyle w:val="ListParagraph"/>
        <w:ind w:firstLine="284"/>
        <w:jc w:val="both"/>
        <w:rPr>
          <w:rFonts w:ascii="Garamond" w:hAnsi="Garamond"/>
          <w:b/>
          <w:sz w:val="24"/>
          <w:szCs w:val="24"/>
          <w:lang w:val="sq-AL"/>
        </w:rPr>
      </w:pPr>
    </w:p>
    <w:p w14:paraId="33D40948" w14:textId="77777777" w:rsidR="008412F5" w:rsidRPr="00327310" w:rsidRDefault="008412F5" w:rsidP="008412F5">
      <w:pPr>
        <w:pStyle w:val="ListParagraph"/>
        <w:ind w:firstLine="284"/>
        <w:jc w:val="both"/>
        <w:rPr>
          <w:rFonts w:ascii="Garamond" w:hAnsi="Garamond"/>
          <w:b/>
          <w:sz w:val="24"/>
          <w:szCs w:val="24"/>
          <w:lang w:val="sq-AL"/>
        </w:rPr>
      </w:pPr>
      <w:r w:rsidRPr="00327310">
        <w:rPr>
          <w:rFonts w:ascii="Garamond" w:hAnsi="Garamond"/>
          <w:b/>
          <w:sz w:val="24"/>
          <w:szCs w:val="24"/>
          <w:lang w:val="sq-AL"/>
        </w:rPr>
        <w:lastRenderedPageBreak/>
        <w:t>Nënfusha 2.2 Marrëdhënia dhe bashkëpunimi me komunitetin e biznesit</w:t>
      </w:r>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544"/>
        <w:gridCol w:w="1360"/>
        <w:gridCol w:w="1364"/>
        <w:gridCol w:w="1364"/>
        <w:gridCol w:w="1269"/>
        <w:gridCol w:w="1252"/>
      </w:tblGrid>
      <w:tr w:rsidR="008412F5" w:rsidRPr="00327310" w14:paraId="0BD03E13" w14:textId="77777777" w:rsidTr="00764C61">
        <w:trPr>
          <w:trHeight w:val="20"/>
          <w:jc w:val="center"/>
        </w:trPr>
        <w:tc>
          <w:tcPr>
            <w:tcW w:w="639" w:type="pct"/>
            <w:tcBorders>
              <w:top w:val="double" w:sz="4" w:space="0" w:color="auto"/>
              <w:left w:val="double" w:sz="4" w:space="0" w:color="auto"/>
            </w:tcBorders>
            <w:shd w:val="clear" w:color="auto" w:fill="D9D9D9" w:themeFill="background1" w:themeFillShade="D9"/>
            <w:vAlign w:val="center"/>
          </w:tcPr>
          <w:p w14:paraId="6874EFF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1992" w:type="pct"/>
            <w:tcBorders>
              <w:top w:val="double" w:sz="4" w:space="0" w:color="auto"/>
            </w:tcBorders>
            <w:shd w:val="clear" w:color="auto" w:fill="D9D9D9" w:themeFill="background1" w:themeFillShade="D9"/>
            <w:vAlign w:val="center"/>
          </w:tcPr>
          <w:p w14:paraId="6926A447"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490" w:type="pct"/>
            <w:tcBorders>
              <w:top w:val="double" w:sz="4" w:space="0" w:color="auto"/>
            </w:tcBorders>
            <w:shd w:val="clear" w:color="auto" w:fill="D9D9D9" w:themeFill="background1" w:themeFillShade="D9"/>
            <w:vAlign w:val="center"/>
          </w:tcPr>
          <w:p w14:paraId="0A7937E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67632370"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61535D32"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90" w:type="pct"/>
            <w:tcBorders>
              <w:top w:val="double" w:sz="4" w:space="0" w:color="auto"/>
            </w:tcBorders>
            <w:shd w:val="clear" w:color="auto" w:fill="D9D9D9" w:themeFill="background1" w:themeFillShade="D9"/>
            <w:vAlign w:val="center"/>
          </w:tcPr>
          <w:p w14:paraId="562B3B60"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490" w:type="pct"/>
            <w:tcBorders>
              <w:top w:val="double" w:sz="4" w:space="0" w:color="auto"/>
            </w:tcBorders>
            <w:shd w:val="clear" w:color="auto" w:fill="D9D9D9" w:themeFill="background1" w:themeFillShade="D9"/>
            <w:vAlign w:val="center"/>
          </w:tcPr>
          <w:p w14:paraId="5391C783"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60" w:type="pct"/>
            <w:tcBorders>
              <w:top w:val="double" w:sz="4" w:space="0" w:color="auto"/>
            </w:tcBorders>
            <w:shd w:val="clear" w:color="auto" w:fill="D9D9D9" w:themeFill="background1" w:themeFillShade="D9"/>
            <w:vAlign w:val="center"/>
          </w:tcPr>
          <w:p w14:paraId="1A9FCD2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38" w:type="pct"/>
            <w:tcBorders>
              <w:top w:val="double" w:sz="4" w:space="0" w:color="auto"/>
              <w:right w:val="double" w:sz="4" w:space="0" w:color="auto"/>
            </w:tcBorders>
            <w:shd w:val="clear" w:color="auto" w:fill="D9D9D9" w:themeFill="background1" w:themeFillShade="D9"/>
            <w:vAlign w:val="center"/>
          </w:tcPr>
          <w:p w14:paraId="7F8EEFF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2999C967"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42A3C79A" w14:textId="77777777" w:rsidTr="00764C61">
        <w:trPr>
          <w:trHeight w:val="20"/>
          <w:jc w:val="center"/>
        </w:trPr>
        <w:tc>
          <w:tcPr>
            <w:tcW w:w="639" w:type="pct"/>
            <w:vMerge w:val="restart"/>
            <w:tcBorders>
              <w:top w:val="double" w:sz="4" w:space="0" w:color="auto"/>
              <w:left w:val="double" w:sz="4" w:space="0" w:color="auto"/>
            </w:tcBorders>
          </w:tcPr>
          <w:p w14:paraId="4EEA279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2.2.1 Komunikimi dhe bashkëpunimi me komunitetin e biznesit</w:t>
            </w:r>
          </w:p>
        </w:tc>
        <w:tc>
          <w:tcPr>
            <w:tcW w:w="1992" w:type="pct"/>
            <w:tcBorders>
              <w:top w:val="double" w:sz="4" w:space="0" w:color="auto"/>
            </w:tcBorders>
          </w:tcPr>
          <w:p w14:paraId="07FD6051"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2.2.1.1</w:t>
            </w:r>
            <w:r w:rsidRPr="00327310">
              <w:rPr>
                <w:rFonts w:ascii="Garamond" w:hAnsi="Garamond"/>
                <w:sz w:val="20"/>
                <w:szCs w:val="20"/>
                <w:lang w:val="sq-AL"/>
              </w:rPr>
              <w:t xml:space="preserve"> </w:t>
            </w:r>
            <w:r w:rsidRPr="00327310">
              <w:rPr>
                <w:rFonts w:ascii="Garamond" w:hAnsi="Garamond"/>
                <w:bCs/>
                <w:sz w:val="20"/>
                <w:szCs w:val="20"/>
                <w:lang w:val="sq-AL"/>
              </w:rPr>
              <w:t>(*) Drejtoria dhe stafi përgjegjës i ofruesit të AFP-së identifikojnë qartësisht në planin vjetor dhe në planin afatmesëm partnerët dhe komunitetin e biznesit, si dhe përshkruajnë</w:t>
            </w:r>
            <w:r>
              <w:rPr>
                <w:rFonts w:ascii="Garamond" w:hAnsi="Garamond"/>
                <w:bCs/>
                <w:sz w:val="20"/>
                <w:szCs w:val="20"/>
                <w:lang w:val="sq-AL"/>
              </w:rPr>
              <w:t xml:space="preserve"> </w:t>
            </w:r>
            <w:r w:rsidRPr="00327310">
              <w:rPr>
                <w:rFonts w:ascii="Garamond" w:hAnsi="Garamond"/>
                <w:bCs/>
                <w:sz w:val="20"/>
                <w:szCs w:val="20"/>
                <w:lang w:val="sq-AL"/>
              </w:rPr>
              <w:t>veprimtaritë e zhvilluara në bashkëpunim.</w:t>
            </w:r>
          </w:p>
        </w:tc>
        <w:tc>
          <w:tcPr>
            <w:tcW w:w="490" w:type="pct"/>
            <w:tcBorders>
              <w:top w:val="double" w:sz="4" w:space="0" w:color="auto"/>
            </w:tcBorders>
          </w:tcPr>
          <w:p w14:paraId="1E64A71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0" w:type="pct"/>
            <w:tcBorders>
              <w:top w:val="double" w:sz="4" w:space="0" w:color="auto"/>
            </w:tcBorders>
          </w:tcPr>
          <w:p w14:paraId="166B08E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0" w:type="pct"/>
            <w:tcBorders>
              <w:top w:val="double" w:sz="4" w:space="0" w:color="auto"/>
            </w:tcBorders>
          </w:tcPr>
          <w:p w14:paraId="23406C5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0" w:type="pct"/>
            <w:tcBorders>
              <w:top w:val="double" w:sz="4" w:space="0" w:color="auto"/>
            </w:tcBorders>
          </w:tcPr>
          <w:p w14:paraId="79882B5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8" w:type="pct"/>
            <w:tcBorders>
              <w:top w:val="double" w:sz="4" w:space="0" w:color="auto"/>
              <w:right w:val="double" w:sz="4" w:space="0" w:color="auto"/>
            </w:tcBorders>
          </w:tcPr>
          <w:p w14:paraId="77F30F6D"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E41C5CB" w14:textId="77777777" w:rsidTr="00764C61">
        <w:trPr>
          <w:trHeight w:val="20"/>
          <w:jc w:val="center"/>
        </w:trPr>
        <w:tc>
          <w:tcPr>
            <w:tcW w:w="639" w:type="pct"/>
            <w:vMerge/>
            <w:tcBorders>
              <w:left w:val="double" w:sz="4" w:space="0" w:color="auto"/>
            </w:tcBorders>
          </w:tcPr>
          <w:p w14:paraId="202D344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2" w:type="pct"/>
          </w:tcPr>
          <w:p w14:paraId="013BD075"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 xml:space="preserve">2.2.1.2 </w:t>
            </w:r>
            <w:r w:rsidRPr="00327310">
              <w:rPr>
                <w:rFonts w:ascii="Garamond" w:hAnsi="Garamond"/>
                <w:bCs/>
                <w:sz w:val="20"/>
                <w:szCs w:val="20"/>
                <w:lang w:val="sq-AL"/>
              </w:rPr>
              <w:t xml:space="preserve">(*) </w:t>
            </w:r>
            <w:r w:rsidRPr="00327310">
              <w:rPr>
                <w:rFonts w:ascii="Garamond" w:hAnsi="Garamond"/>
                <w:sz w:val="20"/>
                <w:szCs w:val="20"/>
                <w:lang w:val="sq-AL"/>
              </w:rPr>
              <w:t xml:space="preserve">Drejtoria dhe </w:t>
            </w:r>
            <w:r w:rsidRPr="00327310">
              <w:rPr>
                <w:rFonts w:ascii="Garamond" w:hAnsi="Garamond"/>
                <w:bCs/>
                <w:sz w:val="20"/>
                <w:szCs w:val="20"/>
                <w:lang w:val="sq-AL"/>
              </w:rPr>
              <w:t xml:space="preserve">stafi </w:t>
            </w:r>
            <w:r w:rsidRPr="00327310">
              <w:rPr>
                <w:rFonts w:ascii="Garamond" w:hAnsi="Garamond"/>
                <w:sz w:val="20"/>
                <w:szCs w:val="20"/>
                <w:lang w:val="sq-AL"/>
              </w:rPr>
              <w:t xml:space="preserve">përgjegjës i ofruesit të AFP-së komunikojnë rregullisht dhe zyrtarisht me komunitetin lokal të biznesit dhe e informojnë rreth veprimtarisë dhe rezultateve të ofruesit të AFP-së, si dhe rreth kualifikimeve profesionale, llojeve të ofertës së AFP-së, diplomave dhe/ose certifikatave profesionale që ofrohen. </w:t>
            </w:r>
          </w:p>
        </w:tc>
        <w:tc>
          <w:tcPr>
            <w:tcW w:w="490" w:type="pct"/>
          </w:tcPr>
          <w:p w14:paraId="6EB8B63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Pr>
          <w:p w14:paraId="3F34935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0" w:type="pct"/>
          </w:tcPr>
          <w:p w14:paraId="5F061B3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0" w:type="pct"/>
          </w:tcPr>
          <w:p w14:paraId="084E20C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384C8DC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8" w:type="pct"/>
            <w:tcBorders>
              <w:right w:val="double" w:sz="4" w:space="0" w:color="auto"/>
            </w:tcBorders>
          </w:tcPr>
          <w:p w14:paraId="6BE794BB"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3F6D72FA" w14:textId="77777777" w:rsidTr="00764C61">
        <w:trPr>
          <w:trHeight w:val="20"/>
          <w:jc w:val="center"/>
        </w:trPr>
        <w:tc>
          <w:tcPr>
            <w:tcW w:w="639" w:type="pct"/>
            <w:vMerge/>
            <w:tcBorders>
              <w:left w:val="double" w:sz="4" w:space="0" w:color="auto"/>
            </w:tcBorders>
          </w:tcPr>
          <w:p w14:paraId="2C4DB9F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2" w:type="pct"/>
          </w:tcPr>
          <w:p w14:paraId="3CE3FB9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2.1.3 Drejtoria e ofruesit të AFP-së dhe njësia e zhvillimit (ose struktura përgjegjëse për sigurimin e cilësisë) mbledhin informacione nga komuniteti lokal i biznesit rreth ofertës së AFP-së (përmes anketave/pyetësorëve mbi kënaqësinë).</w:t>
            </w:r>
          </w:p>
        </w:tc>
        <w:tc>
          <w:tcPr>
            <w:tcW w:w="490" w:type="pct"/>
          </w:tcPr>
          <w:p w14:paraId="1136C46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Pr>
          <w:p w14:paraId="7D19EF1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0" w:type="pct"/>
          </w:tcPr>
          <w:p w14:paraId="66F57A33"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Pr>
          <w:p w14:paraId="725DEFA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8" w:type="pct"/>
            <w:tcBorders>
              <w:right w:val="double" w:sz="4" w:space="0" w:color="auto"/>
            </w:tcBorders>
          </w:tcPr>
          <w:p w14:paraId="18C101C4"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3D912FD4" w14:textId="77777777" w:rsidTr="00764C61">
        <w:trPr>
          <w:trHeight w:val="20"/>
          <w:jc w:val="center"/>
        </w:trPr>
        <w:tc>
          <w:tcPr>
            <w:tcW w:w="639" w:type="pct"/>
            <w:vMerge/>
            <w:tcBorders>
              <w:left w:val="double" w:sz="4" w:space="0" w:color="auto"/>
            </w:tcBorders>
          </w:tcPr>
          <w:p w14:paraId="64E0B23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2" w:type="pct"/>
          </w:tcPr>
          <w:p w14:paraId="1B20E5A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 xml:space="preserve">2.1.4 </w:t>
            </w:r>
            <w:r w:rsidRPr="00327310">
              <w:rPr>
                <w:rFonts w:ascii="Garamond" w:hAnsi="Garamond"/>
                <w:bCs/>
                <w:sz w:val="20"/>
                <w:szCs w:val="20"/>
                <w:lang w:val="sq-AL"/>
              </w:rPr>
              <w:t xml:space="preserve">(*) </w:t>
            </w:r>
            <w:r w:rsidRPr="00327310">
              <w:rPr>
                <w:rFonts w:ascii="Garamond" w:hAnsi="Garamond"/>
                <w:sz w:val="20"/>
                <w:szCs w:val="20"/>
                <w:lang w:val="sq-AL"/>
              </w:rPr>
              <w:t>Drejtoria e ofruesit të AFP-së ndërton marrëdhënie zyrtare me komunitetin lokal të biznesit dhe mban të dhëna vjetore mbi rezultatet e bashkëpunimeve, në veçanti mbi aftësimin praktik ose vlerësimin e programeve të AFP-së.</w:t>
            </w:r>
          </w:p>
        </w:tc>
        <w:tc>
          <w:tcPr>
            <w:tcW w:w="490" w:type="pct"/>
          </w:tcPr>
          <w:p w14:paraId="581822E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0" w:type="pct"/>
          </w:tcPr>
          <w:p w14:paraId="310081F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0" w:type="pct"/>
          </w:tcPr>
          <w:p w14:paraId="7B87A0F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0" w:type="pct"/>
          </w:tcPr>
          <w:p w14:paraId="1D37570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8" w:type="pct"/>
            <w:tcBorders>
              <w:right w:val="double" w:sz="4" w:space="0" w:color="auto"/>
            </w:tcBorders>
          </w:tcPr>
          <w:p w14:paraId="6F12C15E"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6D17BE9" w14:textId="77777777" w:rsidTr="00764C61">
        <w:trPr>
          <w:trHeight w:val="20"/>
          <w:jc w:val="center"/>
        </w:trPr>
        <w:tc>
          <w:tcPr>
            <w:tcW w:w="639" w:type="pct"/>
            <w:vMerge w:val="restart"/>
            <w:tcBorders>
              <w:left w:val="double" w:sz="4" w:space="0" w:color="auto"/>
            </w:tcBorders>
          </w:tcPr>
          <w:p w14:paraId="05E4BB7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2.2</w:t>
            </w:r>
            <w:r>
              <w:rPr>
                <w:rFonts w:ascii="Garamond" w:hAnsi="Garamond"/>
                <w:sz w:val="20"/>
                <w:szCs w:val="20"/>
                <w:lang w:val="sq-AL"/>
              </w:rPr>
              <w:t xml:space="preserve"> </w:t>
            </w:r>
            <w:r w:rsidRPr="00327310">
              <w:rPr>
                <w:rFonts w:ascii="Garamond" w:hAnsi="Garamond"/>
                <w:sz w:val="20"/>
                <w:szCs w:val="20"/>
                <w:lang w:val="sq-AL"/>
              </w:rPr>
              <w:t>Garantimi i aftësimit praktik të nxënësve në ambientet e biznesit, në kuadër të AFP-së</w:t>
            </w:r>
          </w:p>
        </w:tc>
        <w:tc>
          <w:tcPr>
            <w:tcW w:w="1992" w:type="pct"/>
          </w:tcPr>
          <w:p w14:paraId="32F7DFAE"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2.2.2.1</w:t>
            </w:r>
            <w:r w:rsidRPr="00327310">
              <w:rPr>
                <w:rFonts w:ascii="Garamond" w:hAnsi="Garamond"/>
                <w:sz w:val="20"/>
                <w:szCs w:val="20"/>
                <w:lang w:val="sq-AL"/>
              </w:rPr>
              <w:t xml:space="preserve"> </w:t>
            </w:r>
            <w:r w:rsidRPr="00327310">
              <w:rPr>
                <w:rFonts w:ascii="Garamond" w:hAnsi="Garamond"/>
                <w:bCs/>
                <w:sz w:val="20"/>
                <w:szCs w:val="20"/>
                <w:lang w:val="sq-AL"/>
              </w:rPr>
              <w:t>(*) Për aftësimin praktik ose validimin e rezultateve të të nxënit për secilin kualifikim profesional, ofruesi i AFP-së vë në dispozicion ambiente të specializuara (në pronësi, të marra me qira, të siguruara në partneritet me bizneset lokale ose me ofrues të tjerë të AFP-së), sipas standardeve të profesionit dhe standardeve të kualifikimeve profesionale, në përputhje me përshkruesit e niveleve të KSHK-së.</w:t>
            </w:r>
          </w:p>
        </w:tc>
        <w:tc>
          <w:tcPr>
            <w:tcW w:w="490" w:type="pct"/>
          </w:tcPr>
          <w:p w14:paraId="6A4CD2D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0" w:type="pct"/>
          </w:tcPr>
          <w:p w14:paraId="2040E6D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74E44EB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Pr>
          <w:p w14:paraId="75ACE4C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0" w:type="pct"/>
          </w:tcPr>
          <w:p w14:paraId="04D16A8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70F18F5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8" w:type="pct"/>
            <w:tcBorders>
              <w:right w:val="double" w:sz="4" w:space="0" w:color="auto"/>
            </w:tcBorders>
          </w:tcPr>
          <w:p w14:paraId="7E1500ED"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7128CB6" w14:textId="77777777" w:rsidTr="00764C61">
        <w:trPr>
          <w:trHeight w:val="20"/>
          <w:jc w:val="center"/>
        </w:trPr>
        <w:tc>
          <w:tcPr>
            <w:tcW w:w="639" w:type="pct"/>
            <w:vMerge/>
            <w:tcBorders>
              <w:left w:val="double" w:sz="4" w:space="0" w:color="auto"/>
            </w:tcBorders>
          </w:tcPr>
          <w:p w14:paraId="2D8B5E3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2" w:type="pct"/>
          </w:tcPr>
          <w:p w14:paraId="56A9D27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2.2.2 Drejtoria e ofruesit të AFP-së dhe njësia e zhvillimit (ose struktura përgjegjëse për sigurimin e cilësisë) mbledhin informacione sistematike nga partnerët mbi aktivitetet e të nxënit në vendin e punës dhe rezultatet e tyre.</w:t>
            </w:r>
          </w:p>
        </w:tc>
        <w:tc>
          <w:tcPr>
            <w:tcW w:w="490" w:type="pct"/>
          </w:tcPr>
          <w:p w14:paraId="4BFB4C4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Pr>
          <w:p w14:paraId="02AA637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0" w:type="pct"/>
          </w:tcPr>
          <w:p w14:paraId="5DB58E2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0" w:type="pct"/>
          </w:tcPr>
          <w:p w14:paraId="191AB56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8" w:type="pct"/>
            <w:tcBorders>
              <w:right w:val="double" w:sz="4" w:space="0" w:color="auto"/>
            </w:tcBorders>
          </w:tcPr>
          <w:p w14:paraId="30ACFA7E"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6CD9E05E" w14:textId="77777777" w:rsidTr="00764C61">
        <w:trPr>
          <w:trHeight w:val="20"/>
          <w:jc w:val="center"/>
        </w:trPr>
        <w:tc>
          <w:tcPr>
            <w:tcW w:w="639" w:type="pct"/>
            <w:vMerge/>
            <w:tcBorders>
              <w:left w:val="double" w:sz="4" w:space="0" w:color="auto"/>
            </w:tcBorders>
          </w:tcPr>
          <w:p w14:paraId="1DAD1343"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2" w:type="pct"/>
          </w:tcPr>
          <w:p w14:paraId="13C8AF9C"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 xml:space="preserve">2.2.2.3 (*) Drejtoria e ofruesit të AFP-së lidh marrëveshje partneriteti me operatorët e tregut të punës për zbatimin e </w:t>
            </w:r>
            <w:r w:rsidRPr="00327310">
              <w:rPr>
                <w:rFonts w:ascii="Garamond" w:hAnsi="Garamond"/>
                <w:bCs/>
                <w:sz w:val="20"/>
                <w:szCs w:val="20"/>
                <w:lang w:val="sq-AL"/>
              </w:rPr>
              <w:lastRenderedPageBreak/>
              <w:t>kualifikimeve profesionale, në formën e tij të dyfishtë të AFP-së, sipas kuadrit ligjor në fuqi.</w:t>
            </w:r>
          </w:p>
        </w:tc>
        <w:tc>
          <w:tcPr>
            <w:tcW w:w="490" w:type="pct"/>
          </w:tcPr>
          <w:p w14:paraId="1505A4F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Pr>
          <w:p w14:paraId="1496D23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790BD8E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Pr>
          <w:p w14:paraId="568C197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Pr>
          <w:p w14:paraId="57B9A91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8" w:type="pct"/>
            <w:tcBorders>
              <w:right w:val="double" w:sz="4" w:space="0" w:color="auto"/>
            </w:tcBorders>
          </w:tcPr>
          <w:p w14:paraId="0898E6C6"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3EA7A5C3" w14:textId="77777777" w:rsidTr="00764C61">
        <w:trPr>
          <w:trHeight w:val="20"/>
          <w:jc w:val="center"/>
        </w:trPr>
        <w:tc>
          <w:tcPr>
            <w:tcW w:w="639" w:type="pct"/>
            <w:vMerge/>
            <w:tcBorders>
              <w:left w:val="double" w:sz="4" w:space="0" w:color="auto"/>
            </w:tcBorders>
          </w:tcPr>
          <w:p w14:paraId="7D8156F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2" w:type="pct"/>
          </w:tcPr>
          <w:p w14:paraId="65F1C28D"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2.2.2.4 (*) Nxënësit që ndjekin kualifikimet profesionale, në formën e dyfishtë të AFP-së, nënshkruajnë kontratën për mësimin e profesionit, sipas kuadrit ligjor në fuqi, në përputhje me Kodin e Punës.</w:t>
            </w:r>
          </w:p>
        </w:tc>
        <w:tc>
          <w:tcPr>
            <w:tcW w:w="490" w:type="pct"/>
          </w:tcPr>
          <w:p w14:paraId="06C19B6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Pr>
          <w:p w14:paraId="4C74764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2AEA0E7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Pr>
          <w:p w14:paraId="70396CB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Pr>
          <w:p w14:paraId="660D0DA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8" w:type="pct"/>
            <w:tcBorders>
              <w:right w:val="double" w:sz="4" w:space="0" w:color="auto"/>
            </w:tcBorders>
          </w:tcPr>
          <w:p w14:paraId="1DD2E4FE"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1C1D7911" w14:textId="77777777" w:rsidTr="00764C61">
        <w:trPr>
          <w:trHeight w:val="20"/>
          <w:jc w:val="center"/>
        </w:trPr>
        <w:tc>
          <w:tcPr>
            <w:tcW w:w="639" w:type="pct"/>
            <w:vMerge/>
            <w:tcBorders>
              <w:left w:val="double" w:sz="4" w:space="0" w:color="auto"/>
            </w:tcBorders>
          </w:tcPr>
          <w:p w14:paraId="408EFA3D"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2" w:type="pct"/>
          </w:tcPr>
          <w:p w14:paraId="4822CC2D"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 xml:space="preserve">2.2.2.5 (*) Mentori i arsimit të dyfishtë komunikon me stafin mësimdhënës dhe së bashku zbërthejnë planin mësimor për nxënësit që mësojnë profesionin në biznes. </w:t>
            </w:r>
          </w:p>
        </w:tc>
        <w:tc>
          <w:tcPr>
            <w:tcW w:w="490" w:type="pct"/>
          </w:tcPr>
          <w:p w14:paraId="79FFC84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Pr>
          <w:p w14:paraId="64B2C47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3927516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Pr>
          <w:p w14:paraId="346AF69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Pr>
          <w:p w14:paraId="0684049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8" w:type="pct"/>
            <w:tcBorders>
              <w:right w:val="double" w:sz="4" w:space="0" w:color="auto"/>
            </w:tcBorders>
          </w:tcPr>
          <w:p w14:paraId="11AFB0C7"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06BF2C9" w14:textId="77777777" w:rsidTr="00764C61">
        <w:trPr>
          <w:trHeight w:val="20"/>
          <w:jc w:val="center"/>
        </w:trPr>
        <w:tc>
          <w:tcPr>
            <w:tcW w:w="639" w:type="pct"/>
            <w:vMerge/>
            <w:tcBorders>
              <w:left w:val="double" w:sz="4" w:space="0" w:color="auto"/>
              <w:bottom w:val="double" w:sz="4" w:space="0" w:color="auto"/>
            </w:tcBorders>
          </w:tcPr>
          <w:p w14:paraId="31BA528D"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2" w:type="pct"/>
            <w:tcBorders>
              <w:bottom w:val="double" w:sz="4" w:space="0" w:color="auto"/>
            </w:tcBorders>
          </w:tcPr>
          <w:p w14:paraId="53FDA8BD"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2.2.2.6 (*) Mësimdhënësit dhe mentori i arsimit të dyfishtë vlerësojnë rezultatet e të nxënit gjatë dhe në përfundim të vitit shkollor, për nxënësit që mësojnë profesionin në vendin e punës.</w:t>
            </w:r>
          </w:p>
        </w:tc>
        <w:tc>
          <w:tcPr>
            <w:tcW w:w="490" w:type="pct"/>
            <w:tcBorders>
              <w:bottom w:val="double" w:sz="4" w:space="0" w:color="auto"/>
            </w:tcBorders>
          </w:tcPr>
          <w:p w14:paraId="453F395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Borders>
              <w:bottom w:val="double" w:sz="4" w:space="0" w:color="auto"/>
            </w:tcBorders>
          </w:tcPr>
          <w:p w14:paraId="2588BBC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0998284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0" w:type="pct"/>
            <w:tcBorders>
              <w:bottom w:val="double" w:sz="4" w:space="0" w:color="auto"/>
            </w:tcBorders>
          </w:tcPr>
          <w:p w14:paraId="2D4D9F4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bottom w:val="double" w:sz="4" w:space="0" w:color="auto"/>
            </w:tcBorders>
          </w:tcPr>
          <w:p w14:paraId="15E45A2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8" w:type="pct"/>
            <w:tcBorders>
              <w:bottom w:val="double" w:sz="4" w:space="0" w:color="auto"/>
              <w:right w:val="double" w:sz="4" w:space="0" w:color="auto"/>
            </w:tcBorders>
          </w:tcPr>
          <w:p w14:paraId="74648C6C" w14:textId="77777777" w:rsidR="008412F5" w:rsidRPr="00327310" w:rsidRDefault="008412F5" w:rsidP="00764C61">
            <w:pPr>
              <w:pStyle w:val="ListParagraph"/>
              <w:spacing w:after="0" w:line="240" w:lineRule="auto"/>
              <w:ind w:left="0"/>
              <w:rPr>
                <w:rFonts w:ascii="Garamond" w:hAnsi="Garamond"/>
                <w:sz w:val="20"/>
                <w:szCs w:val="20"/>
                <w:lang w:val="sq-AL"/>
              </w:rPr>
            </w:pPr>
          </w:p>
        </w:tc>
      </w:tr>
    </w:tbl>
    <w:p w14:paraId="584DE40E" w14:textId="77777777" w:rsidR="008412F5" w:rsidRPr="00327310" w:rsidRDefault="008412F5" w:rsidP="008412F5">
      <w:pPr>
        <w:pStyle w:val="ListParagraph"/>
        <w:ind w:firstLine="284"/>
        <w:jc w:val="both"/>
        <w:rPr>
          <w:rFonts w:ascii="Garamond" w:hAnsi="Garamond"/>
          <w:b/>
          <w:bCs/>
          <w:sz w:val="24"/>
          <w:szCs w:val="24"/>
          <w:lang w:val="sq-AL"/>
        </w:rPr>
      </w:pPr>
    </w:p>
    <w:p w14:paraId="3F32E186" w14:textId="77777777" w:rsidR="008412F5" w:rsidRPr="00327310" w:rsidRDefault="008412F5" w:rsidP="008412F5">
      <w:pPr>
        <w:pStyle w:val="ListParagraph"/>
        <w:ind w:firstLine="284"/>
        <w:jc w:val="both"/>
        <w:rPr>
          <w:rFonts w:ascii="Garamond" w:hAnsi="Garamond"/>
          <w:sz w:val="24"/>
          <w:szCs w:val="24"/>
          <w:lang w:val="sq-AL"/>
        </w:rPr>
      </w:pPr>
      <w:bookmarkStart w:id="11" w:name="_Toc44689559"/>
      <w:r w:rsidRPr="00327310">
        <w:rPr>
          <w:rFonts w:ascii="Garamond" w:hAnsi="Garamond"/>
          <w:b/>
          <w:sz w:val="24"/>
          <w:szCs w:val="24"/>
          <w:lang w:val="sq-AL"/>
        </w:rPr>
        <w:t>Nënfusha 2.3 Marrëdhënia dhe bashkëpunimi me komunitetin dhe shoqërinë civile</w:t>
      </w:r>
      <w:bookmarkEnd w:id="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5496"/>
        <w:gridCol w:w="1370"/>
        <w:gridCol w:w="1370"/>
        <w:gridCol w:w="1370"/>
        <w:gridCol w:w="1285"/>
        <w:gridCol w:w="1252"/>
      </w:tblGrid>
      <w:tr w:rsidR="008412F5" w:rsidRPr="00327310" w14:paraId="4B699EB9" w14:textId="77777777" w:rsidTr="00764C61">
        <w:trPr>
          <w:trHeight w:val="20"/>
          <w:jc w:val="center"/>
        </w:trPr>
        <w:tc>
          <w:tcPr>
            <w:tcW w:w="643" w:type="pct"/>
            <w:tcBorders>
              <w:top w:val="double" w:sz="4" w:space="0" w:color="auto"/>
              <w:left w:val="double" w:sz="4" w:space="0" w:color="auto"/>
            </w:tcBorders>
            <w:shd w:val="clear" w:color="auto" w:fill="D9D9D9" w:themeFill="background1" w:themeFillShade="D9"/>
            <w:vAlign w:val="center"/>
          </w:tcPr>
          <w:p w14:paraId="1E02B5DC"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p w14:paraId="69078D24"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tc>
        <w:tc>
          <w:tcPr>
            <w:tcW w:w="1975" w:type="pct"/>
            <w:tcBorders>
              <w:top w:val="double" w:sz="4" w:space="0" w:color="auto"/>
            </w:tcBorders>
            <w:shd w:val="clear" w:color="auto" w:fill="D9D9D9" w:themeFill="background1" w:themeFillShade="D9"/>
            <w:vAlign w:val="center"/>
          </w:tcPr>
          <w:p w14:paraId="61BE7E3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p w14:paraId="63FCB92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tc>
        <w:tc>
          <w:tcPr>
            <w:tcW w:w="494" w:type="pct"/>
            <w:tcBorders>
              <w:top w:val="double" w:sz="4" w:space="0" w:color="auto"/>
            </w:tcBorders>
            <w:shd w:val="clear" w:color="auto" w:fill="D9D9D9" w:themeFill="background1" w:themeFillShade="D9"/>
            <w:vAlign w:val="center"/>
          </w:tcPr>
          <w:p w14:paraId="7158F233"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7C507C38"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36BA6D8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290981C8"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94" w:type="pct"/>
            <w:tcBorders>
              <w:top w:val="double" w:sz="4" w:space="0" w:color="auto"/>
            </w:tcBorders>
            <w:shd w:val="clear" w:color="auto" w:fill="D9D9D9" w:themeFill="background1" w:themeFillShade="D9"/>
            <w:vAlign w:val="center"/>
          </w:tcPr>
          <w:p w14:paraId="6CC49B0A"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494" w:type="pct"/>
            <w:tcBorders>
              <w:top w:val="double" w:sz="4" w:space="0" w:color="auto"/>
            </w:tcBorders>
            <w:shd w:val="clear" w:color="auto" w:fill="D9D9D9" w:themeFill="background1" w:themeFillShade="D9"/>
            <w:vAlign w:val="center"/>
          </w:tcPr>
          <w:p w14:paraId="4D7CB01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63" w:type="pct"/>
            <w:tcBorders>
              <w:top w:val="double" w:sz="4" w:space="0" w:color="auto"/>
            </w:tcBorders>
            <w:shd w:val="clear" w:color="auto" w:fill="D9D9D9" w:themeFill="background1" w:themeFillShade="D9"/>
            <w:vAlign w:val="center"/>
          </w:tcPr>
          <w:p w14:paraId="437D2E83"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p w14:paraId="346E3999"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tc>
        <w:tc>
          <w:tcPr>
            <w:tcW w:w="437" w:type="pct"/>
            <w:tcBorders>
              <w:top w:val="double" w:sz="4" w:space="0" w:color="auto"/>
              <w:right w:val="double" w:sz="4" w:space="0" w:color="auto"/>
            </w:tcBorders>
            <w:shd w:val="clear" w:color="auto" w:fill="D9D9D9" w:themeFill="background1" w:themeFillShade="D9"/>
            <w:vAlign w:val="center"/>
          </w:tcPr>
          <w:p w14:paraId="03A46C8A"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55E4A853"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p w14:paraId="401A48DA"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tc>
      </w:tr>
      <w:tr w:rsidR="008412F5" w:rsidRPr="00327310" w14:paraId="1751BBB4" w14:textId="77777777" w:rsidTr="00764C61">
        <w:tblPrEx>
          <w:jc w:val="left"/>
        </w:tblPrEx>
        <w:trPr>
          <w:trHeight w:val="20"/>
        </w:trPr>
        <w:tc>
          <w:tcPr>
            <w:tcW w:w="643" w:type="pct"/>
            <w:vMerge w:val="restart"/>
            <w:tcBorders>
              <w:top w:val="double" w:sz="4" w:space="0" w:color="auto"/>
              <w:left w:val="double" w:sz="4" w:space="0" w:color="auto"/>
            </w:tcBorders>
          </w:tcPr>
          <w:p w14:paraId="2DFAFCA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2.3.1 Bashkëpunimi me komunitetin dhe shoqërinë civile</w:t>
            </w:r>
          </w:p>
        </w:tc>
        <w:tc>
          <w:tcPr>
            <w:tcW w:w="1975" w:type="pct"/>
            <w:tcBorders>
              <w:top w:val="double" w:sz="4" w:space="0" w:color="auto"/>
            </w:tcBorders>
          </w:tcPr>
          <w:p w14:paraId="10BB0CD4"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2.3.1.1</w:t>
            </w:r>
            <w:r w:rsidRPr="00327310">
              <w:rPr>
                <w:rFonts w:ascii="Garamond" w:hAnsi="Garamond"/>
                <w:sz w:val="20"/>
                <w:szCs w:val="20"/>
                <w:lang w:val="sq-AL"/>
              </w:rPr>
              <w:t xml:space="preserve"> </w:t>
            </w:r>
            <w:r w:rsidRPr="00327310">
              <w:rPr>
                <w:rFonts w:ascii="Garamond" w:hAnsi="Garamond"/>
                <w:bCs/>
                <w:sz w:val="20"/>
                <w:szCs w:val="20"/>
                <w:lang w:val="sq-AL"/>
              </w:rPr>
              <w:t>(*) Drejtoria dhe stafi përgjegjës i ofruesit të AFP-së, indentifikojnë qartësisht në planin vjetor dhe në planin afatmesëm grupet e interesit dhe partnerët nga komuniteti dhe shoqëria civile, si dhe janë përshkruar veprimtaritë e tyre të përbashkëta.</w:t>
            </w:r>
          </w:p>
        </w:tc>
        <w:tc>
          <w:tcPr>
            <w:tcW w:w="494" w:type="pct"/>
            <w:tcBorders>
              <w:top w:val="double" w:sz="4" w:space="0" w:color="auto"/>
            </w:tcBorders>
          </w:tcPr>
          <w:p w14:paraId="72E7CE0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double" w:sz="4" w:space="0" w:color="auto"/>
            </w:tcBorders>
          </w:tcPr>
          <w:p w14:paraId="41D8829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top w:val="double" w:sz="4" w:space="0" w:color="auto"/>
            </w:tcBorders>
          </w:tcPr>
          <w:p w14:paraId="2A15D73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3" w:type="pct"/>
            <w:tcBorders>
              <w:top w:val="double" w:sz="4" w:space="0" w:color="auto"/>
            </w:tcBorders>
          </w:tcPr>
          <w:p w14:paraId="22EDE0A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7" w:type="pct"/>
            <w:tcBorders>
              <w:top w:val="double" w:sz="4" w:space="0" w:color="auto"/>
              <w:right w:val="double" w:sz="4" w:space="0" w:color="auto"/>
            </w:tcBorders>
          </w:tcPr>
          <w:p w14:paraId="1ACF21D5"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8817B20" w14:textId="77777777" w:rsidTr="00764C61">
        <w:tblPrEx>
          <w:jc w:val="left"/>
        </w:tblPrEx>
        <w:trPr>
          <w:trHeight w:val="20"/>
        </w:trPr>
        <w:tc>
          <w:tcPr>
            <w:tcW w:w="643" w:type="pct"/>
            <w:vMerge/>
            <w:tcBorders>
              <w:left w:val="double" w:sz="4" w:space="0" w:color="auto"/>
            </w:tcBorders>
          </w:tcPr>
          <w:p w14:paraId="359A9B4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75" w:type="pct"/>
          </w:tcPr>
          <w:p w14:paraId="0743665C"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bCs/>
                <w:sz w:val="20"/>
                <w:szCs w:val="20"/>
                <w:lang w:val="sq-AL"/>
              </w:rPr>
              <w:t>2.3.1.2</w:t>
            </w:r>
            <w:r w:rsidRPr="00327310">
              <w:rPr>
                <w:rFonts w:ascii="Garamond" w:hAnsi="Garamond"/>
                <w:sz w:val="20"/>
                <w:szCs w:val="20"/>
                <w:lang w:val="sq-AL"/>
              </w:rPr>
              <w:t xml:space="preserve"> </w:t>
            </w:r>
            <w:r w:rsidRPr="00327310">
              <w:rPr>
                <w:rFonts w:ascii="Garamond" w:hAnsi="Garamond"/>
                <w:bCs/>
                <w:sz w:val="20"/>
                <w:szCs w:val="20"/>
                <w:lang w:val="sq-AL"/>
              </w:rPr>
              <w:t>(*) Drejtoria dhe stafi përgjegjës i ofruesit të AFP-së komunikojnë sistematikisht dhe zyrtarisht me grupet e interesit, komunitetin dhe shoqërinë civile.</w:t>
            </w:r>
          </w:p>
        </w:tc>
        <w:tc>
          <w:tcPr>
            <w:tcW w:w="494" w:type="pct"/>
          </w:tcPr>
          <w:p w14:paraId="3FBA850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718F355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1DFD25F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3" w:type="pct"/>
          </w:tcPr>
          <w:p w14:paraId="13A7325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7" w:type="pct"/>
            <w:tcBorders>
              <w:right w:val="double" w:sz="4" w:space="0" w:color="auto"/>
            </w:tcBorders>
          </w:tcPr>
          <w:p w14:paraId="10437F90"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61BFA106" w14:textId="77777777" w:rsidTr="00764C61">
        <w:tblPrEx>
          <w:jc w:val="left"/>
        </w:tblPrEx>
        <w:trPr>
          <w:trHeight w:val="20"/>
        </w:trPr>
        <w:tc>
          <w:tcPr>
            <w:tcW w:w="643" w:type="pct"/>
            <w:vMerge/>
            <w:tcBorders>
              <w:left w:val="double" w:sz="4" w:space="0" w:color="auto"/>
            </w:tcBorders>
          </w:tcPr>
          <w:p w14:paraId="6A5D3CD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75" w:type="pct"/>
          </w:tcPr>
          <w:p w14:paraId="15F4B3A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3.1.3 Drejtoria dhe stafi përgjegjës i ofruesit të AFP-së informojnë rregullisht grupet e interesit, komunitetin dhe shoqërinë civile mbi veprimtaritë dhe rezultatet e ofruesit të AFP-së, si dhe mbi kualifikimet profesionale, llojet e ofertës së AFP-së, diplomat dhe/ose certifikatat profesionale që ofrohen.</w:t>
            </w:r>
          </w:p>
        </w:tc>
        <w:tc>
          <w:tcPr>
            <w:tcW w:w="494" w:type="pct"/>
          </w:tcPr>
          <w:p w14:paraId="679C6DB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772B2A0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4DF9239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3" w:type="pct"/>
          </w:tcPr>
          <w:p w14:paraId="69D837A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26DB8737" w14:textId="77777777" w:rsidR="008412F5" w:rsidRPr="00327310" w:rsidRDefault="008412F5" w:rsidP="00764C61">
            <w:pPr>
              <w:pStyle w:val="ListParagraph"/>
              <w:spacing w:after="0" w:line="240" w:lineRule="auto"/>
              <w:ind w:left="0"/>
              <w:rPr>
                <w:rFonts w:ascii="Garamond" w:hAnsi="Garamond"/>
                <w:sz w:val="20"/>
                <w:szCs w:val="20"/>
                <w:lang w:val="sq-AL"/>
              </w:rPr>
            </w:pPr>
          </w:p>
          <w:p w14:paraId="4EDF0D6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7" w:type="pct"/>
            <w:tcBorders>
              <w:right w:val="double" w:sz="4" w:space="0" w:color="auto"/>
            </w:tcBorders>
          </w:tcPr>
          <w:p w14:paraId="5E1188F2"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3887938" w14:textId="77777777" w:rsidTr="00764C61">
        <w:tblPrEx>
          <w:jc w:val="left"/>
        </w:tblPrEx>
        <w:trPr>
          <w:trHeight w:val="20"/>
        </w:trPr>
        <w:tc>
          <w:tcPr>
            <w:tcW w:w="643" w:type="pct"/>
            <w:vMerge/>
            <w:tcBorders>
              <w:left w:val="double" w:sz="4" w:space="0" w:color="auto"/>
            </w:tcBorders>
          </w:tcPr>
          <w:p w14:paraId="0F915FB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75" w:type="pct"/>
          </w:tcPr>
          <w:p w14:paraId="57119E9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3.1.4 Drejtoria dhe stafi përgjegjës i ofruesit të AFP-së mbledhin rregullisht informacione nga grupet e interesit, komuniteti dhe shoqëria civile mbi veprimtarinë dhe rezultatet e ofrimit të AFP-së (duke përfshirë përmes anketave/pyetësorëve mbi kënaqësinë).</w:t>
            </w:r>
          </w:p>
        </w:tc>
        <w:tc>
          <w:tcPr>
            <w:tcW w:w="494" w:type="pct"/>
          </w:tcPr>
          <w:p w14:paraId="59FEAA2D"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Pr>
          <w:p w14:paraId="19D3629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Pr>
          <w:p w14:paraId="5D79A6A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3" w:type="pct"/>
          </w:tcPr>
          <w:p w14:paraId="1EFA205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7" w:type="pct"/>
            <w:tcBorders>
              <w:right w:val="double" w:sz="4" w:space="0" w:color="auto"/>
            </w:tcBorders>
          </w:tcPr>
          <w:p w14:paraId="7CB6953E"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7C6B4EF" w14:textId="77777777" w:rsidTr="00764C61">
        <w:tblPrEx>
          <w:jc w:val="left"/>
        </w:tblPrEx>
        <w:trPr>
          <w:trHeight w:val="20"/>
        </w:trPr>
        <w:tc>
          <w:tcPr>
            <w:tcW w:w="643" w:type="pct"/>
            <w:vMerge/>
            <w:tcBorders>
              <w:left w:val="double" w:sz="4" w:space="0" w:color="auto"/>
            </w:tcBorders>
          </w:tcPr>
          <w:p w14:paraId="259EF90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75" w:type="pct"/>
            <w:tcBorders>
              <w:bottom w:val="double" w:sz="4" w:space="0" w:color="auto"/>
            </w:tcBorders>
          </w:tcPr>
          <w:p w14:paraId="5EC4C81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3.1.5 Ofruesi i AFP-së bashkëpunon me organizatat e specializuara të shoqërisë civile (duke përfshirë organizatat që përfaqësojnë prindërit dhe nxënësit/kursantët) për të rritur nivelin e regjistrimit dhe të frekuentimit.</w:t>
            </w:r>
          </w:p>
        </w:tc>
        <w:tc>
          <w:tcPr>
            <w:tcW w:w="494" w:type="pct"/>
            <w:tcBorders>
              <w:bottom w:val="double" w:sz="4" w:space="0" w:color="auto"/>
            </w:tcBorders>
          </w:tcPr>
          <w:p w14:paraId="3E3D749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4" w:type="pct"/>
            <w:tcBorders>
              <w:bottom w:val="double" w:sz="4" w:space="0" w:color="auto"/>
            </w:tcBorders>
          </w:tcPr>
          <w:p w14:paraId="56AFD62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4" w:type="pct"/>
            <w:tcBorders>
              <w:bottom w:val="double" w:sz="4" w:space="0" w:color="auto"/>
            </w:tcBorders>
          </w:tcPr>
          <w:p w14:paraId="32B82AB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3" w:type="pct"/>
            <w:tcBorders>
              <w:bottom w:val="double" w:sz="4" w:space="0" w:color="auto"/>
            </w:tcBorders>
          </w:tcPr>
          <w:p w14:paraId="5E4C0C1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7" w:type="pct"/>
            <w:tcBorders>
              <w:bottom w:val="double" w:sz="4" w:space="0" w:color="auto"/>
              <w:right w:val="double" w:sz="4" w:space="0" w:color="auto"/>
            </w:tcBorders>
          </w:tcPr>
          <w:p w14:paraId="2679BFFB" w14:textId="77777777" w:rsidR="008412F5" w:rsidRPr="00327310" w:rsidRDefault="008412F5" w:rsidP="00764C61">
            <w:pPr>
              <w:pStyle w:val="ListParagraph"/>
              <w:spacing w:after="0" w:line="240" w:lineRule="auto"/>
              <w:ind w:left="0"/>
              <w:rPr>
                <w:rFonts w:ascii="Garamond" w:hAnsi="Garamond"/>
                <w:sz w:val="20"/>
                <w:szCs w:val="20"/>
                <w:lang w:val="sq-AL"/>
              </w:rPr>
            </w:pPr>
          </w:p>
        </w:tc>
      </w:tr>
    </w:tbl>
    <w:p w14:paraId="0D1809DF" w14:textId="77777777" w:rsidR="008412F5" w:rsidRPr="00327310" w:rsidRDefault="008412F5" w:rsidP="008412F5">
      <w:pPr>
        <w:pStyle w:val="ListParagraph"/>
        <w:ind w:firstLine="284"/>
        <w:jc w:val="both"/>
        <w:rPr>
          <w:rFonts w:ascii="Garamond" w:hAnsi="Garamond"/>
          <w:b/>
          <w:bCs/>
          <w:sz w:val="24"/>
          <w:szCs w:val="24"/>
          <w:lang w:val="sq-AL"/>
        </w:rPr>
      </w:pPr>
    </w:p>
    <w:p w14:paraId="6E3F69B4" w14:textId="77777777" w:rsidR="008412F5" w:rsidRPr="00327310" w:rsidRDefault="008412F5" w:rsidP="008412F5">
      <w:pPr>
        <w:pStyle w:val="ListParagraph"/>
        <w:ind w:firstLine="284"/>
        <w:jc w:val="both"/>
        <w:rPr>
          <w:rFonts w:ascii="Garamond" w:hAnsi="Garamond"/>
          <w:sz w:val="24"/>
          <w:szCs w:val="24"/>
          <w:lang w:val="sq-AL"/>
        </w:rPr>
      </w:pPr>
      <w:bookmarkStart w:id="12" w:name="_Toc44689560"/>
      <w:r w:rsidRPr="00327310">
        <w:rPr>
          <w:rFonts w:ascii="Garamond" w:hAnsi="Garamond"/>
          <w:b/>
          <w:sz w:val="24"/>
          <w:szCs w:val="24"/>
          <w:lang w:val="sq-AL"/>
        </w:rPr>
        <w:t>Nënfusha 2.4 Marrëdhënia dhe bashkëpunimi me ofruesit e tjerë të AFP-së dhe institucionet e tjera arsimore</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5506"/>
        <w:gridCol w:w="1367"/>
        <w:gridCol w:w="1368"/>
        <w:gridCol w:w="1368"/>
        <w:gridCol w:w="1282"/>
        <w:gridCol w:w="1252"/>
      </w:tblGrid>
      <w:tr w:rsidR="008412F5" w:rsidRPr="00327310" w14:paraId="627F5561" w14:textId="77777777" w:rsidTr="00764C61">
        <w:trPr>
          <w:trHeight w:val="20"/>
          <w:jc w:val="center"/>
        </w:trPr>
        <w:tc>
          <w:tcPr>
            <w:tcW w:w="645" w:type="pct"/>
            <w:tcBorders>
              <w:top w:val="double" w:sz="4" w:space="0" w:color="auto"/>
              <w:left w:val="double" w:sz="4" w:space="0" w:color="auto"/>
            </w:tcBorders>
            <w:shd w:val="clear" w:color="auto" w:fill="D9D9D9" w:themeFill="background1" w:themeFillShade="D9"/>
            <w:vAlign w:val="center"/>
          </w:tcPr>
          <w:p w14:paraId="11C7195A"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1981" w:type="pct"/>
            <w:tcBorders>
              <w:top w:val="double" w:sz="4" w:space="0" w:color="auto"/>
            </w:tcBorders>
            <w:shd w:val="clear" w:color="auto" w:fill="D9D9D9" w:themeFill="background1" w:themeFillShade="D9"/>
            <w:vAlign w:val="center"/>
          </w:tcPr>
          <w:p w14:paraId="1E244805"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495" w:type="pct"/>
            <w:tcBorders>
              <w:top w:val="double" w:sz="4" w:space="0" w:color="auto"/>
            </w:tcBorders>
            <w:shd w:val="clear" w:color="auto" w:fill="D9D9D9" w:themeFill="background1" w:themeFillShade="D9"/>
            <w:vAlign w:val="center"/>
          </w:tcPr>
          <w:p w14:paraId="70EBB5B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1DA81045"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5384DD3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95" w:type="pct"/>
            <w:tcBorders>
              <w:top w:val="double" w:sz="4" w:space="0" w:color="auto"/>
            </w:tcBorders>
            <w:shd w:val="clear" w:color="auto" w:fill="D9D9D9" w:themeFill="background1" w:themeFillShade="D9"/>
            <w:vAlign w:val="center"/>
          </w:tcPr>
          <w:p w14:paraId="2B285384"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495" w:type="pct"/>
            <w:tcBorders>
              <w:top w:val="double" w:sz="4" w:space="0" w:color="auto"/>
            </w:tcBorders>
            <w:shd w:val="clear" w:color="auto" w:fill="D9D9D9" w:themeFill="background1" w:themeFillShade="D9"/>
            <w:vAlign w:val="center"/>
          </w:tcPr>
          <w:p w14:paraId="4518A713"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64" w:type="pct"/>
            <w:tcBorders>
              <w:top w:val="double" w:sz="4" w:space="0" w:color="auto"/>
            </w:tcBorders>
            <w:shd w:val="clear" w:color="auto" w:fill="D9D9D9" w:themeFill="background1" w:themeFillShade="D9"/>
            <w:vAlign w:val="center"/>
          </w:tcPr>
          <w:p w14:paraId="5DCE5F9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25" w:type="pct"/>
            <w:tcBorders>
              <w:top w:val="double" w:sz="4" w:space="0" w:color="auto"/>
              <w:right w:val="double" w:sz="4" w:space="0" w:color="auto"/>
            </w:tcBorders>
            <w:shd w:val="clear" w:color="auto" w:fill="D9D9D9" w:themeFill="background1" w:themeFillShade="D9"/>
            <w:vAlign w:val="center"/>
          </w:tcPr>
          <w:p w14:paraId="5136F07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43B3C452"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6D26CABE" w14:textId="77777777" w:rsidTr="00764C61">
        <w:tblPrEx>
          <w:jc w:val="left"/>
        </w:tblPrEx>
        <w:trPr>
          <w:trHeight w:val="20"/>
        </w:trPr>
        <w:tc>
          <w:tcPr>
            <w:tcW w:w="645" w:type="pct"/>
            <w:vMerge w:val="restart"/>
            <w:tcBorders>
              <w:top w:val="double" w:sz="4" w:space="0" w:color="auto"/>
              <w:left w:val="double" w:sz="4" w:space="0" w:color="auto"/>
            </w:tcBorders>
          </w:tcPr>
          <w:p w14:paraId="49FB510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4.1 Bashkëpunimi me ofrues të tjerë kombëtarë dhe ndërkombëtarë të AFP-së</w:t>
            </w:r>
          </w:p>
        </w:tc>
        <w:tc>
          <w:tcPr>
            <w:tcW w:w="1981" w:type="pct"/>
            <w:tcBorders>
              <w:top w:val="double" w:sz="4" w:space="0" w:color="auto"/>
            </w:tcBorders>
          </w:tcPr>
          <w:p w14:paraId="4960CE9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 xml:space="preserve">4.1.1 </w:t>
            </w:r>
            <w:r w:rsidRPr="00327310">
              <w:rPr>
                <w:rFonts w:ascii="Garamond" w:hAnsi="Garamond"/>
                <w:bCs/>
                <w:sz w:val="20"/>
                <w:szCs w:val="20"/>
                <w:lang w:val="sq-AL"/>
              </w:rPr>
              <w:t xml:space="preserve">(*) Drejtoria dhe stafi përgjegjës i ofruesit të AFP-së identifikojnë qartësisht </w:t>
            </w:r>
            <w:r w:rsidRPr="00327310">
              <w:rPr>
                <w:rFonts w:ascii="Garamond" w:hAnsi="Garamond"/>
                <w:sz w:val="20"/>
                <w:szCs w:val="20"/>
                <w:lang w:val="sq-AL"/>
              </w:rPr>
              <w:t>në planin afatmesëm dhe në planin vjetor</w:t>
            </w:r>
            <w:r w:rsidRPr="00327310">
              <w:rPr>
                <w:rFonts w:ascii="Garamond" w:hAnsi="Garamond"/>
                <w:bCs/>
                <w:sz w:val="20"/>
                <w:szCs w:val="20"/>
                <w:lang w:val="sq-AL"/>
              </w:rPr>
              <w:t xml:space="preserve"> p</w:t>
            </w:r>
            <w:r w:rsidRPr="00327310">
              <w:rPr>
                <w:rFonts w:ascii="Garamond" w:hAnsi="Garamond"/>
                <w:sz w:val="20"/>
                <w:szCs w:val="20"/>
                <w:lang w:val="sq-AL"/>
              </w:rPr>
              <w:t xml:space="preserve">artnerë kombëtarë dhe ndërkombëtarë të AFP-së, donatorë, ose grupe të tjera të interesit, </w:t>
            </w:r>
            <w:r w:rsidRPr="00327310">
              <w:rPr>
                <w:rFonts w:ascii="Garamond" w:hAnsi="Garamond"/>
                <w:bCs/>
                <w:sz w:val="20"/>
                <w:szCs w:val="20"/>
                <w:lang w:val="sq-AL"/>
              </w:rPr>
              <w:t>si dhe janë përshkruar veprimtaritë e tyre të përbashkëta.</w:t>
            </w:r>
          </w:p>
        </w:tc>
        <w:tc>
          <w:tcPr>
            <w:tcW w:w="495" w:type="pct"/>
            <w:tcBorders>
              <w:top w:val="double" w:sz="4" w:space="0" w:color="auto"/>
            </w:tcBorders>
          </w:tcPr>
          <w:p w14:paraId="21E153A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5" w:type="pct"/>
            <w:tcBorders>
              <w:top w:val="double" w:sz="4" w:space="0" w:color="auto"/>
            </w:tcBorders>
          </w:tcPr>
          <w:p w14:paraId="5C53631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5" w:type="pct"/>
            <w:tcBorders>
              <w:top w:val="double" w:sz="4" w:space="0" w:color="auto"/>
            </w:tcBorders>
          </w:tcPr>
          <w:p w14:paraId="060C79D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4" w:type="pct"/>
            <w:tcBorders>
              <w:top w:val="double" w:sz="4" w:space="0" w:color="auto"/>
            </w:tcBorders>
          </w:tcPr>
          <w:p w14:paraId="27ABE25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5" w:type="pct"/>
            <w:tcBorders>
              <w:top w:val="double" w:sz="4" w:space="0" w:color="auto"/>
              <w:right w:val="double" w:sz="4" w:space="0" w:color="auto"/>
            </w:tcBorders>
          </w:tcPr>
          <w:p w14:paraId="0816C8E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5A72C47" w14:textId="77777777" w:rsidTr="00764C61">
        <w:tblPrEx>
          <w:jc w:val="left"/>
        </w:tblPrEx>
        <w:trPr>
          <w:trHeight w:val="20"/>
        </w:trPr>
        <w:tc>
          <w:tcPr>
            <w:tcW w:w="645" w:type="pct"/>
            <w:vMerge/>
            <w:tcBorders>
              <w:left w:val="double" w:sz="4" w:space="0" w:color="auto"/>
            </w:tcBorders>
          </w:tcPr>
          <w:p w14:paraId="043CC00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81" w:type="pct"/>
          </w:tcPr>
          <w:p w14:paraId="299FA0B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 xml:space="preserve">4.1.2 </w:t>
            </w:r>
            <w:r w:rsidRPr="00327310">
              <w:rPr>
                <w:rFonts w:ascii="Garamond" w:hAnsi="Garamond"/>
                <w:bCs/>
                <w:sz w:val="20"/>
                <w:szCs w:val="20"/>
                <w:lang w:val="sq-AL"/>
              </w:rPr>
              <w:t xml:space="preserve">(*) </w:t>
            </w:r>
            <w:r w:rsidRPr="00327310">
              <w:rPr>
                <w:rFonts w:ascii="Garamond" w:hAnsi="Garamond"/>
                <w:sz w:val="20"/>
                <w:szCs w:val="20"/>
                <w:lang w:val="sq-AL"/>
              </w:rPr>
              <w:t xml:space="preserve">Drejtoria dhe </w:t>
            </w:r>
            <w:r w:rsidRPr="00327310">
              <w:rPr>
                <w:rFonts w:ascii="Garamond" w:hAnsi="Garamond"/>
                <w:bCs/>
                <w:sz w:val="20"/>
                <w:szCs w:val="20"/>
                <w:lang w:val="sq-AL"/>
              </w:rPr>
              <w:t xml:space="preserve">stafi </w:t>
            </w:r>
            <w:r w:rsidRPr="00327310">
              <w:rPr>
                <w:rFonts w:ascii="Garamond" w:hAnsi="Garamond"/>
                <w:sz w:val="20"/>
                <w:szCs w:val="20"/>
                <w:lang w:val="sq-AL"/>
              </w:rPr>
              <w:t>përgjegjës i ofruesit të AFP-së komunikojnë rregullisht dhe zyrtarisht me grupet e tjera të interesit.</w:t>
            </w:r>
          </w:p>
        </w:tc>
        <w:tc>
          <w:tcPr>
            <w:tcW w:w="495" w:type="pct"/>
          </w:tcPr>
          <w:p w14:paraId="6BE4591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5" w:type="pct"/>
          </w:tcPr>
          <w:p w14:paraId="323B1A2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5" w:type="pct"/>
          </w:tcPr>
          <w:p w14:paraId="20663C2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4" w:type="pct"/>
          </w:tcPr>
          <w:p w14:paraId="0D1F828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5" w:type="pct"/>
            <w:tcBorders>
              <w:right w:val="double" w:sz="4" w:space="0" w:color="auto"/>
            </w:tcBorders>
          </w:tcPr>
          <w:p w14:paraId="0CDF82B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66D822A" w14:textId="77777777" w:rsidTr="00764C61">
        <w:tblPrEx>
          <w:jc w:val="left"/>
        </w:tblPrEx>
        <w:trPr>
          <w:trHeight w:val="20"/>
        </w:trPr>
        <w:tc>
          <w:tcPr>
            <w:tcW w:w="645" w:type="pct"/>
            <w:vMerge/>
            <w:tcBorders>
              <w:left w:val="double" w:sz="4" w:space="0" w:color="auto"/>
            </w:tcBorders>
          </w:tcPr>
          <w:p w14:paraId="295A92A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81" w:type="pct"/>
          </w:tcPr>
          <w:p w14:paraId="12B9226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4.1.3 Drejtoria e ofruesit të AFP-së krijon partneritete zyrtare me ofruesit e tjerë të AFP-së, si dhe me grupet e tjera të interesit në nivel kombëtar dhe ndërkombëtar, për zhvillimin e përbashkët të programeve dhe shfrytëzimin e përbashkët të burimeve (të mjediseve mësimore dhe të praktikës profesionale, materialeve ndihmëse për mësimdhënien dhe materialeve mësimore, programeve për zhvillimin profesional të stafit etj.) dhe dokumenton rezultatet e bashkëpunimit.</w:t>
            </w:r>
          </w:p>
        </w:tc>
        <w:tc>
          <w:tcPr>
            <w:tcW w:w="495" w:type="pct"/>
          </w:tcPr>
          <w:p w14:paraId="6369AE6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5" w:type="pct"/>
          </w:tcPr>
          <w:p w14:paraId="6855396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5" w:type="pct"/>
          </w:tcPr>
          <w:p w14:paraId="2887176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4" w:type="pct"/>
          </w:tcPr>
          <w:p w14:paraId="6199AA1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5" w:type="pct"/>
            <w:tcBorders>
              <w:right w:val="double" w:sz="4" w:space="0" w:color="auto"/>
            </w:tcBorders>
          </w:tcPr>
          <w:p w14:paraId="5F1F7F8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F1ED4B7" w14:textId="77777777" w:rsidTr="00764C61">
        <w:tblPrEx>
          <w:jc w:val="left"/>
        </w:tblPrEx>
        <w:trPr>
          <w:trHeight w:val="20"/>
        </w:trPr>
        <w:tc>
          <w:tcPr>
            <w:tcW w:w="645" w:type="pct"/>
            <w:vMerge/>
            <w:tcBorders>
              <w:left w:val="double" w:sz="4" w:space="0" w:color="auto"/>
            </w:tcBorders>
          </w:tcPr>
          <w:p w14:paraId="422770B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81" w:type="pct"/>
          </w:tcPr>
          <w:p w14:paraId="7E1B955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4.1.4 Ofruesi i AFP-së merr pjesë në rrjetet kombëtare dhe ndërkombëtare të ofruesve të AFP-së dhe në projektet e përbashkëta të financuara në nivel kombëtar, evropian ose ndërkombëtar.</w:t>
            </w:r>
          </w:p>
        </w:tc>
        <w:tc>
          <w:tcPr>
            <w:tcW w:w="495" w:type="pct"/>
          </w:tcPr>
          <w:p w14:paraId="033DE0D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5" w:type="pct"/>
          </w:tcPr>
          <w:p w14:paraId="77E63EB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5" w:type="pct"/>
          </w:tcPr>
          <w:p w14:paraId="5701B4D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4" w:type="pct"/>
          </w:tcPr>
          <w:p w14:paraId="7782DD3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5" w:type="pct"/>
            <w:tcBorders>
              <w:right w:val="double" w:sz="4" w:space="0" w:color="auto"/>
            </w:tcBorders>
          </w:tcPr>
          <w:p w14:paraId="726E5E26"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6C5C543" w14:textId="77777777" w:rsidTr="00764C61">
        <w:tblPrEx>
          <w:jc w:val="left"/>
        </w:tblPrEx>
        <w:trPr>
          <w:trHeight w:val="20"/>
        </w:trPr>
        <w:tc>
          <w:tcPr>
            <w:tcW w:w="645" w:type="pct"/>
            <w:vMerge w:val="restart"/>
            <w:tcBorders>
              <w:left w:val="double" w:sz="4" w:space="0" w:color="auto"/>
            </w:tcBorders>
          </w:tcPr>
          <w:p w14:paraId="2CD31C2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 xml:space="preserve">4.2 Bashkëpunimi me institucione të tjera kombëtare dhe ndërkombëtare arsimore </w:t>
            </w:r>
            <w:r w:rsidRPr="00327310">
              <w:rPr>
                <w:rFonts w:ascii="Garamond" w:hAnsi="Garamond"/>
                <w:sz w:val="20"/>
                <w:szCs w:val="20"/>
                <w:lang w:val="sq-AL"/>
              </w:rPr>
              <w:lastRenderedPageBreak/>
              <w:t>(institucione të arsimit të mesëm të përgjithshëm, të arsimit bazë dhe të arsimit të lartë)</w:t>
            </w:r>
          </w:p>
        </w:tc>
        <w:tc>
          <w:tcPr>
            <w:tcW w:w="1981" w:type="pct"/>
          </w:tcPr>
          <w:p w14:paraId="39EC4D2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lastRenderedPageBreak/>
              <w:t>2.</w:t>
            </w:r>
            <w:r w:rsidRPr="00327310">
              <w:rPr>
                <w:rFonts w:ascii="Garamond" w:hAnsi="Garamond"/>
                <w:sz w:val="20"/>
                <w:szCs w:val="20"/>
                <w:lang w:val="sq-AL"/>
              </w:rPr>
              <w:t xml:space="preserve">4.2.1 </w:t>
            </w:r>
            <w:r w:rsidRPr="00327310">
              <w:rPr>
                <w:rFonts w:ascii="Garamond" w:hAnsi="Garamond"/>
                <w:bCs/>
                <w:sz w:val="20"/>
                <w:szCs w:val="20"/>
                <w:lang w:val="sq-AL"/>
              </w:rPr>
              <w:t xml:space="preserve">(*) </w:t>
            </w:r>
            <w:r w:rsidRPr="00327310">
              <w:rPr>
                <w:rFonts w:ascii="Garamond" w:hAnsi="Garamond"/>
                <w:sz w:val="20"/>
                <w:szCs w:val="20"/>
                <w:lang w:val="sq-AL"/>
              </w:rPr>
              <w:t xml:space="preserve">Drejtoria dhe </w:t>
            </w:r>
            <w:r w:rsidRPr="00327310">
              <w:rPr>
                <w:rFonts w:ascii="Garamond" w:hAnsi="Garamond"/>
                <w:bCs/>
                <w:sz w:val="20"/>
                <w:szCs w:val="20"/>
                <w:lang w:val="sq-AL"/>
              </w:rPr>
              <w:t xml:space="preserve">stafi </w:t>
            </w:r>
            <w:r w:rsidRPr="00327310">
              <w:rPr>
                <w:rFonts w:ascii="Garamond" w:hAnsi="Garamond"/>
                <w:sz w:val="20"/>
                <w:szCs w:val="20"/>
                <w:lang w:val="sq-AL"/>
              </w:rPr>
              <w:t>përgjegjës i ofruesit të AFP-së</w:t>
            </w:r>
            <w:r>
              <w:rPr>
                <w:rFonts w:ascii="Garamond" w:hAnsi="Garamond"/>
                <w:sz w:val="20"/>
                <w:szCs w:val="20"/>
                <w:lang w:val="sq-AL"/>
              </w:rPr>
              <w:t xml:space="preserve"> </w:t>
            </w:r>
            <w:r w:rsidRPr="00327310">
              <w:rPr>
                <w:rFonts w:ascii="Garamond" w:hAnsi="Garamond"/>
                <w:sz w:val="20"/>
                <w:szCs w:val="20"/>
                <w:lang w:val="sq-AL"/>
              </w:rPr>
              <w:t xml:space="preserve">identifikojnë qartësisht në planin afatmesëm dhe në planin vjetor partnerët, si dhe institucionet arsimore kombëtare dhe ndërkombëtare, veçanërisht institucionet arsimore, nga të cilat ofruesi i AFP-së regjistron/tërheq nxënës/kursantë, si dhe ato </w:t>
            </w:r>
            <w:r w:rsidRPr="00327310">
              <w:rPr>
                <w:rFonts w:ascii="Garamond" w:hAnsi="Garamond"/>
                <w:sz w:val="20"/>
                <w:szCs w:val="20"/>
                <w:lang w:val="sq-AL"/>
              </w:rPr>
              <w:lastRenderedPageBreak/>
              <w:t>institucione, ku të diplomuarit e AFP-së mund të vijojnë arsimimin e tyre.</w:t>
            </w:r>
          </w:p>
        </w:tc>
        <w:tc>
          <w:tcPr>
            <w:tcW w:w="495" w:type="pct"/>
          </w:tcPr>
          <w:p w14:paraId="3957A49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lastRenderedPageBreak/>
              <w:t>√</w:t>
            </w:r>
          </w:p>
        </w:tc>
        <w:tc>
          <w:tcPr>
            <w:tcW w:w="495" w:type="pct"/>
          </w:tcPr>
          <w:p w14:paraId="7252C24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5" w:type="pct"/>
          </w:tcPr>
          <w:p w14:paraId="6BF4BE5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4" w:type="pct"/>
          </w:tcPr>
          <w:p w14:paraId="2736FCA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5" w:type="pct"/>
            <w:tcBorders>
              <w:right w:val="double" w:sz="4" w:space="0" w:color="auto"/>
            </w:tcBorders>
          </w:tcPr>
          <w:p w14:paraId="03866B0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945E604" w14:textId="77777777" w:rsidTr="00764C61">
        <w:tblPrEx>
          <w:jc w:val="left"/>
        </w:tblPrEx>
        <w:trPr>
          <w:trHeight w:val="20"/>
        </w:trPr>
        <w:tc>
          <w:tcPr>
            <w:tcW w:w="645" w:type="pct"/>
            <w:vMerge/>
            <w:tcBorders>
              <w:left w:val="double" w:sz="4" w:space="0" w:color="auto"/>
            </w:tcBorders>
          </w:tcPr>
          <w:p w14:paraId="7C2D789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81" w:type="pct"/>
          </w:tcPr>
          <w:p w14:paraId="7779716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 xml:space="preserve">4.2.2 </w:t>
            </w:r>
            <w:r w:rsidRPr="00327310">
              <w:rPr>
                <w:rFonts w:ascii="Garamond" w:hAnsi="Garamond"/>
                <w:bCs/>
                <w:sz w:val="20"/>
                <w:szCs w:val="20"/>
                <w:lang w:val="sq-AL"/>
              </w:rPr>
              <w:t xml:space="preserve">(*) </w:t>
            </w:r>
            <w:r w:rsidRPr="00327310">
              <w:rPr>
                <w:rFonts w:ascii="Garamond" w:hAnsi="Garamond"/>
                <w:sz w:val="20"/>
                <w:szCs w:val="20"/>
                <w:lang w:val="sq-AL"/>
              </w:rPr>
              <w:t xml:space="preserve">Drejtoria dhe </w:t>
            </w:r>
            <w:r w:rsidRPr="00327310">
              <w:rPr>
                <w:rFonts w:ascii="Garamond" w:hAnsi="Garamond"/>
                <w:bCs/>
                <w:sz w:val="20"/>
                <w:szCs w:val="20"/>
                <w:lang w:val="sq-AL"/>
              </w:rPr>
              <w:t xml:space="preserve">stafi </w:t>
            </w:r>
            <w:r w:rsidRPr="00327310">
              <w:rPr>
                <w:rFonts w:ascii="Garamond" w:hAnsi="Garamond"/>
                <w:sz w:val="20"/>
                <w:szCs w:val="20"/>
                <w:lang w:val="sq-AL"/>
              </w:rPr>
              <w:t>përgjegjës i ofruesit të AFP-së komunikojnë rregullisht dhe zyrtarisht me partnerët, si dhe me institucionet arsimore kombëtare dhe ndërkombëtare.</w:t>
            </w:r>
          </w:p>
        </w:tc>
        <w:tc>
          <w:tcPr>
            <w:tcW w:w="495" w:type="pct"/>
          </w:tcPr>
          <w:p w14:paraId="09018AF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5" w:type="pct"/>
          </w:tcPr>
          <w:p w14:paraId="1B3CDEE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5" w:type="pct"/>
          </w:tcPr>
          <w:p w14:paraId="09400E1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4" w:type="pct"/>
          </w:tcPr>
          <w:p w14:paraId="7969A82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5" w:type="pct"/>
            <w:tcBorders>
              <w:right w:val="double" w:sz="4" w:space="0" w:color="auto"/>
            </w:tcBorders>
          </w:tcPr>
          <w:p w14:paraId="6565B10B"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218C315" w14:textId="77777777" w:rsidTr="00764C61">
        <w:tblPrEx>
          <w:jc w:val="left"/>
        </w:tblPrEx>
        <w:trPr>
          <w:trHeight w:val="20"/>
        </w:trPr>
        <w:tc>
          <w:tcPr>
            <w:tcW w:w="645" w:type="pct"/>
            <w:vMerge/>
            <w:tcBorders>
              <w:left w:val="double" w:sz="4" w:space="0" w:color="auto"/>
            </w:tcBorders>
          </w:tcPr>
          <w:p w14:paraId="5995D3F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81" w:type="pct"/>
          </w:tcPr>
          <w:p w14:paraId="63F15A2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4.2.3 Drejtoria e ofruesit të AFP-së krijon partneritete zyrtare me institucionet arsimore kombëtare dhe ndërkombëtare për zhvillimin e përbashkët të programeve dhe shfrytëzimin e përbashkët të burimeve (të ambienteve, të materialeve ndihmëse për mësimdhënien dhe materialeve mësimore, të stafit, të programeve për zhvillimin profesional të stafit etj.) dhe ruan të dhëna mbi rezultatet e partneritetit.</w:t>
            </w:r>
          </w:p>
        </w:tc>
        <w:tc>
          <w:tcPr>
            <w:tcW w:w="495" w:type="pct"/>
          </w:tcPr>
          <w:p w14:paraId="3D1CAFE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5" w:type="pct"/>
          </w:tcPr>
          <w:p w14:paraId="10954F6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5" w:type="pct"/>
          </w:tcPr>
          <w:p w14:paraId="4B138FB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4" w:type="pct"/>
          </w:tcPr>
          <w:p w14:paraId="487C1D0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25" w:type="pct"/>
            <w:tcBorders>
              <w:right w:val="double" w:sz="4" w:space="0" w:color="auto"/>
            </w:tcBorders>
          </w:tcPr>
          <w:p w14:paraId="5C72FB1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51B8A2B" w14:textId="77777777" w:rsidTr="00764C61">
        <w:tblPrEx>
          <w:jc w:val="left"/>
        </w:tblPrEx>
        <w:trPr>
          <w:trHeight w:val="20"/>
        </w:trPr>
        <w:tc>
          <w:tcPr>
            <w:tcW w:w="645" w:type="pct"/>
            <w:vMerge/>
            <w:tcBorders>
              <w:left w:val="double" w:sz="4" w:space="0" w:color="auto"/>
              <w:bottom w:val="double" w:sz="4" w:space="0" w:color="auto"/>
            </w:tcBorders>
          </w:tcPr>
          <w:p w14:paraId="4B00C8E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81" w:type="pct"/>
            <w:tcBorders>
              <w:bottom w:val="double" w:sz="4" w:space="0" w:color="auto"/>
            </w:tcBorders>
          </w:tcPr>
          <w:p w14:paraId="782842A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bCs/>
                <w:sz w:val="20"/>
                <w:szCs w:val="20"/>
                <w:lang w:val="sq-AL"/>
              </w:rPr>
              <w:t>2.</w:t>
            </w:r>
            <w:r w:rsidRPr="00327310">
              <w:rPr>
                <w:rFonts w:ascii="Garamond" w:hAnsi="Garamond"/>
                <w:sz w:val="20"/>
                <w:szCs w:val="20"/>
                <w:lang w:val="sq-AL"/>
              </w:rPr>
              <w:t>4.2.4 Ofruesi i AFP-së merr pjesë në rrjetet kombëtare dhe ndërkombëtare të institucioneve arsimore dhe në projekte të përbashkëta të financuara në nivel kombëtar, evropian ose ndërkombëtar.</w:t>
            </w:r>
          </w:p>
        </w:tc>
        <w:tc>
          <w:tcPr>
            <w:tcW w:w="495" w:type="pct"/>
            <w:tcBorders>
              <w:bottom w:val="double" w:sz="4" w:space="0" w:color="auto"/>
            </w:tcBorders>
          </w:tcPr>
          <w:p w14:paraId="3B92AAE2"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5" w:type="pct"/>
            <w:tcBorders>
              <w:bottom w:val="double" w:sz="4" w:space="0" w:color="auto"/>
            </w:tcBorders>
          </w:tcPr>
          <w:p w14:paraId="04B2773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5" w:type="pct"/>
            <w:tcBorders>
              <w:bottom w:val="double" w:sz="4" w:space="0" w:color="auto"/>
            </w:tcBorders>
          </w:tcPr>
          <w:p w14:paraId="4D9568E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4" w:type="pct"/>
            <w:tcBorders>
              <w:bottom w:val="double" w:sz="4" w:space="0" w:color="auto"/>
            </w:tcBorders>
          </w:tcPr>
          <w:p w14:paraId="77E5540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25" w:type="pct"/>
            <w:tcBorders>
              <w:bottom w:val="double" w:sz="4" w:space="0" w:color="auto"/>
              <w:right w:val="double" w:sz="4" w:space="0" w:color="auto"/>
            </w:tcBorders>
          </w:tcPr>
          <w:p w14:paraId="33D59E02" w14:textId="77777777" w:rsidR="008412F5" w:rsidRPr="00327310" w:rsidRDefault="008412F5" w:rsidP="00764C61">
            <w:pPr>
              <w:pStyle w:val="ListParagraph"/>
              <w:spacing w:after="0" w:line="240" w:lineRule="auto"/>
              <w:ind w:left="0"/>
              <w:rPr>
                <w:rFonts w:ascii="Garamond" w:hAnsi="Garamond"/>
                <w:sz w:val="20"/>
                <w:szCs w:val="20"/>
                <w:lang w:val="sq-AL"/>
              </w:rPr>
            </w:pPr>
          </w:p>
        </w:tc>
      </w:tr>
    </w:tbl>
    <w:p w14:paraId="2C906C7D" w14:textId="77777777" w:rsidR="008412F5" w:rsidRPr="00327310" w:rsidRDefault="008412F5" w:rsidP="008412F5">
      <w:pPr>
        <w:pStyle w:val="ListParagraph"/>
        <w:ind w:firstLine="284"/>
        <w:jc w:val="both"/>
        <w:rPr>
          <w:rFonts w:ascii="Garamond" w:hAnsi="Garamond"/>
          <w:b/>
          <w:sz w:val="24"/>
          <w:szCs w:val="24"/>
          <w:lang w:val="sq-AL"/>
        </w:rPr>
      </w:pPr>
      <w:bookmarkStart w:id="13" w:name="_Toc62649093"/>
    </w:p>
    <w:p w14:paraId="3B9EBB39" w14:textId="77777777" w:rsidR="008412F5" w:rsidRPr="00327310" w:rsidRDefault="008412F5" w:rsidP="008412F5">
      <w:pPr>
        <w:pStyle w:val="ListParagraph"/>
        <w:ind w:firstLine="284"/>
        <w:jc w:val="both"/>
        <w:rPr>
          <w:rFonts w:ascii="Garamond" w:hAnsi="Garamond"/>
          <w:b/>
          <w:sz w:val="24"/>
          <w:szCs w:val="24"/>
          <w:lang w:val="sq-AL"/>
        </w:rPr>
      </w:pPr>
      <w:r w:rsidRPr="00327310">
        <w:rPr>
          <w:rFonts w:ascii="Garamond" w:hAnsi="Garamond"/>
          <w:b/>
          <w:sz w:val="24"/>
          <w:szCs w:val="24"/>
          <w:lang w:val="sq-AL"/>
        </w:rPr>
        <w:t>Fusha 3. Kurrikula e zbatuar</w:t>
      </w:r>
      <w:bookmarkEnd w:id="13"/>
    </w:p>
    <w:p w14:paraId="53813BF1" w14:textId="77777777" w:rsidR="008412F5" w:rsidRPr="00327310" w:rsidRDefault="008412F5" w:rsidP="008412F5">
      <w:pPr>
        <w:pStyle w:val="ListParagraph"/>
        <w:ind w:firstLine="284"/>
        <w:jc w:val="both"/>
        <w:rPr>
          <w:rFonts w:ascii="Garamond" w:hAnsi="Garamond"/>
          <w:sz w:val="24"/>
          <w:szCs w:val="24"/>
          <w:lang w:val="sq-AL"/>
        </w:rPr>
      </w:pPr>
      <w:bookmarkStart w:id="14" w:name="_Toc44689562"/>
      <w:r w:rsidRPr="00327310">
        <w:rPr>
          <w:rFonts w:ascii="Garamond" w:hAnsi="Garamond"/>
          <w:b/>
          <w:sz w:val="24"/>
          <w:szCs w:val="24"/>
          <w:lang w:val="sq-AL"/>
        </w:rPr>
        <w:t xml:space="preserve">Nënfusha 3.1 Zhvillimi dhe zbatimi i kurrikulës për programet e AFP-së që çojnë </w:t>
      </w:r>
      <w:bookmarkEnd w:id="14"/>
      <w:r w:rsidRPr="00327310">
        <w:rPr>
          <w:rFonts w:ascii="Garamond" w:hAnsi="Garamond"/>
          <w:b/>
          <w:sz w:val="24"/>
          <w:szCs w:val="24"/>
          <w:lang w:val="sq-AL"/>
        </w:rPr>
        <w:t xml:space="preserve">kualifikime të </w:t>
      </w:r>
      <w:r>
        <w:rPr>
          <w:rFonts w:ascii="Garamond" w:hAnsi="Garamond"/>
          <w:b/>
          <w:sz w:val="24"/>
          <w:szCs w:val="24"/>
          <w:lang w:val="sq-AL"/>
        </w:rPr>
        <w:t>niveleve 2–5</w:t>
      </w:r>
      <w:r w:rsidRPr="00327310">
        <w:rPr>
          <w:rFonts w:ascii="Garamond" w:hAnsi="Garamond"/>
          <w:b/>
          <w:sz w:val="24"/>
          <w:szCs w:val="24"/>
          <w:lang w:val="sq-AL"/>
        </w:rPr>
        <w:t xml:space="preserve"> të KSHK-së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5392"/>
        <w:gridCol w:w="1418"/>
        <w:gridCol w:w="1364"/>
        <w:gridCol w:w="1371"/>
        <w:gridCol w:w="1268"/>
        <w:gridCol w:w="1252"/>
      </w:tblGrid>
      <w:tr w:rsidR="008412F5" w:rsidRPr="00327310" w14:paraId="216F75BE" w14:textId="77777777" w:rsidTr="00764C61">
        <w:trPr>
          <w:trHeight w:val="717"/>
          <w:jc w:val="center"/>
        </w:trPr>
        <w:tc>
          <w:tcPr>
            <w:tcW w:w="676" w:type="pct"/>
            <w:tcBorders>
              <w:top w:val="double" w:sz="4" w:space="0" w:color="auto"/>
              <w:left w:val="double" w:sz="4" w:space="0" w:color="auto"/>
            </w:tcBorders>
            <w:shd w:val="clear" w:color="auto" w:fill="D9D9D9" w:themeFill="background1" w:themeFillShade="D9"/>
            <w:vAlign w:val="center"/>
          </w:tcPr>
          <w:p w14:paraId="1FE57C45"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1943" w:type="pct"/>
            <w:tcBorders>
              <w:top w:val="double" w:sz="4" w:space="0" w:color="auto"/>
            </w:tcBorders>
            <w:shd w:val="clear" w:color="auto" w:fill="D9D9D9" w:themeFill="background1" w:themeFillShade="D9"/>
            <w:vAlign w:val="center"/>
          </w:tcPr>
          <w:p w14:paraId="41DD363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516" w:type="pct"/>
            <w:tcBorders>
              <w:top w:val="double" w:sz="4" w:space="0" w:color="auto"/>
            </w:tcBorders>
            <w:shd w:val="clear" w:color="auto" w:fill="D9D9D9" w:themeFill="background1" w:themeFillShade="D9"/>
            <w:vAlign w:val="center"/>
          </w:tcPr>
          <w:p w14:paraId="5E768D7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051DD6C4"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64C4CA15"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68" w:type="pct"/>
            <w:tcBorders>
              <w:top w:val="double" w:sz="4" w:space="0" w:color="auto"/>
            </w:tcBorders>
            <w:shd w:val="clear" w:color="auto" w:fill="D9D9D9" w:themeFill="background1" w:themeFillShade="D9"/>
            <w:vAlign w:val="center"/>
          </w:tcPr>
          <w:p w14:paraId="6C898043"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499" w:type="pct"/>
            <w:tcBorders>
              <w:top w:val="double" w:sz="4" w:space="0" w:color="auto"/>
            </w:tcBorders>
            <w:shd w:val="clear" w:color="auto" w:fill="D9D9D9" w:themeFill="background1" w:themeFillShade="D9"/>
            <w:vAlign w:val="center"/>
          </w:tcPr>
          <w:p w14:paraId="720A751C"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62" w:type="pct"/>
            <w:tcBorders>
              <w:top w:val="double" w:sz="4" w:space="0" w:color="auto"/>
            </w:tcBorders>
            <w:shd w:val="clear" w:color="auto" w:fill="D9D9D9" w:themeFill="background1" w:themeFillShade="D9"/>
            <w:vAlign w:val="center"/>
          </w:tcPr>
          <w:p w14:paraId="163BAD3C"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37" w:type="pct"/>
            <w:tcBorders>
              <w:top w:val="double" w:sz="4" w:space="0" w:color="auto"/>
              <w:right w:val="double" w:sz="4" w:space="0" w:color="auto"/>
            </w:tcBorders>
            <w:shd w:val="clear" w:color="auto" w:fill="D9D9D9" w:themeFill="background1" w:themeFillShade="D9"/>
            <w:vAlign w:val="center"/>
          </w:tcPr>
          <w:p w14:paraId="0A71863B"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4037381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4A30AD37" w14:textId="77777777" w:rsidTr="00764C61">
        <w:trPr>
          <w:jc w:val="center"/>
        </w:trPr>
        <w:tc>
          <w:tcPr>
            <w:tcW w:w="676" w:type="pct"/>
            <w:vMerge w:val="restart"/>
            <w:tcBorders>
              <w:top w:val="double" w:sz="4" w:space="0" w:color="auto"/>
              <w:left w:val="double" w:sz="4" w:space="0" w:color="auto"/>
            </w:tcBorders>
          </w:tcPr>
          <w:p w14:paraId="4C04B40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3.1.1 Përdorimi i standardeve të profesioneve dhe standardeve të kualifikimeve profesionale për hartimin e kurrikulave të ofruesve të AFP-së</w:t>
            </w:r>
          </w:p>
        </w:tc>
        <w:tc>
          <w:tcPr>
            <w:tcW w:w="1943" w:type="pct"/>
            <w:tcBorders>
              <w:top w:val="double" w:sz="4" w:space="0" w:color="auto"/>
            </w:tcBorders>
          </w:tcPr>
          <w:p w14:paraId="6B7AEDEB"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3.</w:t>
            </w:r>
            <w:r w:rsidRPr="00327310">
              <w:rPr>
                <w:rFonts w:ascii="Garamond" w:hAnsi="Garamond"/>
                <w:bCs/>
                <w:sz w:val="20"/>
                <w:szCs w:val="20"/>
                <w:lang w:val="sq-AL"/>
              </w:rPr>
              <w:t>1.1.1 (*) Kurrikula e ofruesit të AFP-së për të gjitha kualifikimet profesionale bazohet në standardet e profesioneve dhe standardet e kualifikimeve profesionale, në përputhje me përshkruesit e nivelit përkatës në KSHK.</w:t>
            </w:r>
          </w:p>
        </w:tc>
        <w:tc>
          <w:tcPr>
            <w:tcW w:w="516" w:type="pct"/>
            <w:tcBorders>
              <w:top w:val="double" w:sz="4" w:space="0" w:color="auto"/>
            </w:tcBorders>
          </w:tcPr>
          <w:p w14:paraId="660642D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Borders>
              <w:top w:val="double" w:sz="4" w:space="0" w:color="auto"/>
            </w:tcBorders>
          </w:tcPr>
          <w:p w14:paraId="193FE0B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9" w:type="pct"/>
            <w:tcBorders>
              <w:top w:val="double" w:sz="4" w:space="0" w:color="auto"/>
            </w:tcBorders>
          </w:tcPr>
          <w:p w14:paraId="429DA54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Borders>
              <w:top w:val="double" w:sz="4" w:space="0" w:color="auto"/>
            </w:tcBorders>
          </w:tcPr>
          <w:p w14:paraId="34DB515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7" w:type="pct"/>
            <w:tcBorders>
              <w:top w:val="double" w:sz="4" w:space="0" w:color="auto"/>
              <w:right w:val="double" w:sz="4" w:space="0" w:color="auto"/>
            </w:tcBorders>
          </w:tcPr>
          <w:p w14:paraId="5CCD472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3C6085DE" w14:textId="77777777" w:rsidTr="00764C61">
        <w:trPr>
          <w:jc w:val="center"/>
        </w:trPr>
        <w:tc>
          <w:tcPr>
            <w:tcW w:w="676" w:type="pct"/>
            <w:vMerge/>
            <w:tcBorders>
              <w:left w:val="double" w:sz="4" w:space="0" w:color="auto"/>
            </w:tcBorders>
          </w:tcPr>
          <w:p w14:paraId="4871FA5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3" w:type="pct"/>
          </w:tcPr>
          <w:p w14:paraId="579D898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3.</w:t>
            </w:r>
            <w:r w:rsidRPr="00327310">
              <w:rPr>
                <w:rFonts w:ascii="Garamond" w:hAnsi="Garamond"/>
                <w:bCs/>
                <w:sz w:val="20"/>
                <w:szCs w:val="20"/>
                <w:lang w:val="sq-AL"/>
              </w:rPr>
              <w:t>1.1.2 (*) Drejtoria e ofruesit të AFP-së dhe/ose njësia përgjegjëse, harton një procedurë për hartimin e planeve mësimore sipas kurrikulës, për çdo kualifikim profesional sipas niveleve të KSHK-së.</w:t>
            </w:r>
          </w:p>
        </w:tc>
        <w:tc>
          <w:tcPr>
            <w:tcW w:w="516" w:type="pct"/>
          </w:tcPr>
          <w:p w14:paraId="51B233D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3C7CC97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9" w:type="pct"/>
          </w:tcPr>
          <w:p w14:paraId="1A49400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0729508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7" w:type="pct"/>
            <w:tcBorders>
              <w:right w:val="double" w:sz="4" w:space="0" w:color="auto"/>
            </w:tcBorders>
          </w:tcPr>
          <w:p w14:paraId="5703805E"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DA69B48" w14:textId="77777777" w:rsidTr="00764C61">
        <w:trPr>
          <w:jc w:val="center"/>
        </w:trPr>
        <w:tc>
          <w:tcPr>
            <w:tcW w:w="676" w:type="pct"/>
            <w:vMerge/>
            <w:tcBorders>
              <w:left w:val="double" w:sz="4" w:space="0" w:color="auto"/>
            </w:tcBorders>
          </w:tcPr>
          <w:p w14:paraId="5DFC68D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3" w:type="pct"/>
          </w:tcPr>
          <w:p w14:paraId="374E0B98"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 xml:space="preserve">3.1.1.3 </w:t>
            </w:r>
            <w:r w:rsidRPr="00327310">
              <w:rPr>
                <w:rFonts w:ascii="Garamond" w:hAnsi="Garamond"/>
                <w:bCs/>
                <w:sz w:val="20"/>
                <w:szCs w:val="20"/>
                <w:lang w:val="sq-AL"/>
              </w:rPr>
              <w:t xml:space="preserve">(*) </w:t>
            </w:r>
            <w:r w:rsidRPr="00327310">
              <w:rPr>
                <w:rFonts w:ascii="Garamond" w:hAnsi="Garamond"/>
                <w:sz w:val="20"/>
                <w:szCs w:val="20"/>
                <w:lang w:val="sq-AL"/>
              </w:rPr>
              <w:t xml:space="preserve">Validimi i të nxënit joformal dhe informal bazohet në standardet e kualifikimeve profesionale, në përputhje me përshkruesit e </w:t>
            </w:r>
            <w:r>
              <w:rPr>
                <w:rFonts w:ascii="Garamond" w:hAnsi="Garamond"/>
                <w:sz w:val="20"/>
                <w:szCs w:val="20"/>
                <w:lang w:val="sq-AL"/>
              </w:rPr>
              <w:t>niveleve 2–5</w:t>
            </w:r>
            <w:r w:rsidRPr="00327310">
              <w:rPr>
                <w:rFonts w:ascii="Garamond" w:hAnsi="Garamond"/>
                <w:bCs/>
                <w:sz w:val="20"/>
                <w:szCs w:val="20"/>
                <w:lang w:val="sq-AL"/>
              </w:rPr>
              <w:t xml:space="preserve"> në KSHK.</w:t>
            </w:r>
          </w:p>
        </w:tc>
        <w:tc>
          <w:tcPr>
            <w:tcW w:w="516" w:type="pct"/>
          </w:tcPr>
          <w:p w14:paraId="481F8EC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8" w:type="pct"/>
          </w:tcPr>
          <w:p w14:paraId="7DB42EF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9" w:type="pct"/>
          </w:tcPr>
          <w:p w14:paraId="047BBEE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2" w:type="pct"/>
          </w:tcPr>
          <w:p w14:paraId="1A57B53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7" w:type="pct"/>
            <w:tcBorders>
              <w:right w:val="double" w:sz="4" w:space="0" w:color="auto"/>
            </w:tcBorders>
          </w:tcPr>
          <w:p w14:paraId="31CF6D73"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8E890EF" w14:textId="77777777" w:rsidTr="00764C61">
        <w:trPr>
          <w:jc w:val="center"/>
        </w:trPr>
        <w:tc>
          <w:tcPr>
            <w:tcW w:w="676" w:type="pct"/>
            <w:vMerge/>
            <w:tcBorders>
              <w:left w:val="double" w:sz="4" w:space="0" w:color="auto"/>
            </w:tcBorders>
          </w:tcPr>
          <w:p w14:paraId="7BA0166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3" w:type="pct"/>
          </w:tcPr>
          <w:p w14:paraId="47899523" w14:textId="77777777" w:rsidR="008412F5" w:rsidRPr="00327310" w:rsidRDefault="008412F5" w:rsidP="00764C61">
            <w:pPr>
              <w:pStyle w:val="ListParagraph"/>
              <w:spacing w:after="0" w:line="240" w:lineRule="auto"/>
              <w:ind w:left="0"/>
              <w:rPr>
                <w:rFonts w:ascii="Garamond" w:hAnsi="Garamond"/>
                <w:b/>
                <w:bCs/>
                <w:sz w:val="20"/>
                <w:szCs w:val="20"/>
                <w:lang w:val="sq-AL"/>
              </w:rPr>
            </w:pPr>
            <w:r w:rsidRPr="00327310">
              <w:rPr>
                <w:rFonts w:ascii="Garamond" w:hAnsi="Garamond"/>
                <w:sz w:val="20"/>
                <w:szCs w:val="20"/>
                <w:lang w:val="sq-AL"/>
              </w:rPr>
              <w:t>3.1.1.4 Kurrikula e planifikuar dhe e zbatuar nga ofruesi i AFP-së respekton dispozitat ligjore për të drejtat e fëmijëve/të njeriut, parimin e mosdiskriminimit (në bazë të gjinisë, përkatësisë etnike, kulturës, besimit fetar ose të ndonjë forme tjetër) dhe parimin e mundësive të barabarta.</w:t>
            </w:r>
          </w:p>
        </w:tc>
        <w:tc>
          <w:tcPr>
            <w:tcW w:w="516" w:type="pct"/>
          </w:tcPr>
          <w:p w14:paraId="042B407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0A54425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9" w:type="pct"/>
          </w:tcPr>
          <w:p w14:paraId="5D82A14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77731E0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7" w:type="pct"/>
            <w:tcBorders>
              <w:right w:val="double" w:sz="4" w:space="0" w:color="auto"/>
            </w:tcBorders>
          </w:tcPr>
          <w:p w14:paraId="1653D394"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17364E72" w14:textId="77777777" w:rsidTr="00764C61">
        <w:trPr>
          <w:jc w:val="center"/>
        </w:trPr>
        <w:tc>
          <w:tcPr>
            <w:tcW w:w="676" w:type="pct"/>
            <w:tcBorders>
              <w:left w:val="double" w:sz="4" w:space="0" w:color="auto"/>
            </w:tcBorders>
          </w:tcPr>
          <w:p w14:paraId="7D0CF53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3.1.2 Përputhshmëria e kualifikimeve profesionale që ofrohen dhe e llojit të ofertës, me nevojat e tregut të punës në nivel kombëtar, vendor dhe sektorial</w:t>
            </w:r>
          </w:p>
        </w:tc>
        <w:tc>
          <w:tcPr>
            <w:tcW w:w="1943" w:type="pct"/>
          </w:tcPr>
          <w:p w14:paraId="752746D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3.</w:t>
            </w:r>
            <w:r w:rsidRPr="00327310">
              <w:rPr>
                <w:rFonts w:ascii="Garamond" w:hAnsi="Garamond"/>
                <w:bCs/>
                <w:sz w:val="20"/>
                <w:szCs w:val="20"/>
                <w:lang w:val="sq-AL"/>
              </w:rPr>
              <w:t>1.2.1</w:t>
            </w:r>
            <w:r w:rsidRPr="00327310">
              <w:rPr>
                <w:rFonts w:ascii="Garamond" w:hAnsi="Garamond"/>
                <w:sz w:val="20"/>
                <w:szCs w:val="20"/>
                <w:lang w:val="sq-AL"/>
              </w:rPr>
              <w:t xml:space="preserve"> </w:t>
            </w:r>
            <w:r w:rsidRPr="00327310">
              <w:rPr>
                <w:rFonts w:ascii="Garamond" w:hAnsi="Garamond"/>
                <w:bCs/>
                <w:sz w:val="20"/>
                <w:szCs w:val="20"/>
                <w:lang w:val="sq-AL"/>
              </w:rPr>
              <w:t>(*) Kualifikimet profesionale që ofrohen dhe modalitetet e ofertës së AFP-së përcaktohen sipas të dhënave specifike për nevojat e tregut të punës, përmes anketave në nivel kombëtar, vendor dhe sektorial, si dhe përmes bashkëpunimit me bizneset, grupet e interesit, komunitetin, shoqërinë civile dhe partnerë të tjerë.</w:t>
            </w:r>
          </w:p>
        </w:tc>
        <w:tc>
          <w:tcPr>
            <w:tcW w:w="516" w:type="pct"/>
          </w:tcPr>
          <w:p w14:paraId="7ED6AC6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0CA0F21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9" w:type="pct"/>
          </w:tcPr>
          <w:p w14:paraId="1573396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006D623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7" w:type="pct"/>
            <w:tcBorders>
              <w:right w:val="double" w:sz="4" w:space="0" w:color="auto"/>
            </w:tcBorders>
          </w:tcPr>
          <w:p w14:paraId="7F5C6908"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7EA0846" w14:textId="77777777" w:rsidTr="00764C61">
        <w:trPr>
          <w:jc w:val="center"/>
        </w:trPr>
        <w:tc>
          <w:tcPr>
            <w:tcW w:w="676" w:type="pct"/>
            <w:vMerge w:val="restart"/>
            <w:tcBorders>
              <w:left w:val="double" w:sz="4" w:space="0" w:color="auto"/>
            </w:tcBorders>
          </w:tcPr>
          <w:p w14:paraId="196C381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3.1.3 Përdorimi i kurrikulës së ofruesit të AFP-së për hartimin dhe zbatimin e programeve të mësimdhënies dhe të proceseve të tjera të vlerësimit</w:t>
            </w:r>
          </w:p>
        </w:tc>
        <w:tc>
          <w:tcPr>
            <w:tcW w:w="1943" w:type="pct"/>
          </w:tcPr>
          <w:p w14:paraId="67AFB70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3.1.3.1 </w:t>
            </w:r>
            <w:r w:rsidRPr="00327310">
              <w:rPr>
                <w:rFonts w:ascii="Garamond" w:hAnsi="Garamond"/>
                <w:bCs/>
                <w:sz w:val="20"/>
                <w:szCs w:val="20"/>
                <w:lang w:val="sq-AL"/>
              </w:rPr>
              <w:t xml:space="preserve">(*) </w:t>
            </w:r>
            <w:r w:rsidRPr="00327310">
              <w:rPr>
                <w:rFonts w:ascii="Garamond" w:hAnsi="Garamond"/>
                <w:sz w:val="20"/>
                <w:szCs w:val="20"/>
                <w:lang w:val="sq-AL"/>
              </w:rPr>
              <w:t>Për zbatimin e planeve mësimore, mësuesit përdorin burimet ekzistuese (njerëzore, infrastrukturë, ambiente ndihmëse, pajisje dhe materiale mësimore), duke përfshirë burimet e përbashkëta me partnerët.</w:t>
            </w:r>
          </w:p>
        </w:tc>
        <w:tc>
          <w:tcPr>
            <w:tcW w:w="516" w:type="pct"/>
          </w:tcPr>
          <w:p w14:paraId="5B0E1D2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47813A2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9" w:type="pct"/>
          </w:tcPr>
          <w:p w14:paraId="43A1EED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3653CEA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7" w:type="pct"/>
            <w:tcBorders>
              <w:right w:val="double" w:sz="4" w:space="0" w:color="auto"/>
            </w:tcBorders>
          </w:tcPr>
          <w:p w14:paraId="482B8069"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9CF78B7" w14:textId="77777777" w:rsidTr="00764C61">
        <w:trPr>
          <w:trHeight w:val="701"/>
          <w:jc w:val="center"/>
        </w:trPr>
        <w:tc>
          <w:tcPr>
            <w:tcW w:w="676" w:type="pct"/>
            <w:vMerge/>
            <w:tcBorders>
              <w:left w:val="double" w:sz="4" w:space="0" w:color="auto"/>
            </w:tcBorders>
          </w:tcPr>
          <w:p w14:paraId="784C2DE2"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3" w:type="pct"/>
          </w:tcPr>
          <w:p w14:paraId="1D8929B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3.1.3.2 </w:t>
            </w:r>
            <w:r w:rsidRPr="00327310">
              <w:rPr>
                <w:rFonts w:ascii="Garamond" w:hAnsi="Garamond"/>
                <w:bCs/>
                <w:sz w:val="20"/>
                <w:szCs w:val="20"/>
                <w:lang w:val="sq-AL"/>
              </w:rPr>
              <w:t xml:space="preserve">(*) </w:t>
            </w:r>
            <w:r w:rsidRPr="00327310">
              <w:rPr>
                <w:rFonts w:ascii="Garamond" w:hAnsi="Garamond"/>
                <w:sz w:val="20"/>
                <w:szCs w:val="20"/>
                <w:lang w:val="sq-AL"/>
              </w:rPr>
              <w:t>Për zbatimin e kualifikimeve të të nxënit gjatë gjithë jetës, hartohet një plan mësimor i kursit që identifikon përdorimin e burimeve ekzistuese për secilën njësi mësimore.</w:t>
            </w:r>
          </w:p>
        </w:tc>
        <w:tc>
          <w:tcPr>
            <w:tcW w:w="516" w:type="pct"/>
          </w:tcPr>
          <w:p w14:paraId="3213349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8" w:type="pct"/>
          </w:tcPr>
          <w:p w14:paraId="25D470A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9" w:type="pct"/>
          </w:tcPr>
          <w:p w14:paraId="61F25F3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2A3B31F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7" w:type="pct"/>
            <w:tcBorders>
              <w:right w:val="double" w:sz="4" w:space="0" w:color="auto"/>
            </w:tcBorders>
          </w:tcPr>
          <w:p w14:paraId="3BF9D0E3"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F347989" w14:textId="77777777" w:rsidTr="00764C61">
        <w:trPr>
          <w:trHeight w:val="413"/>
          <w:jc w:val="center"/>
        </w:trPr>
        <w:tc>
          <w:tcPr>
            <w:tcW w:w="676" w:type="pct"/>
            <w:vMerge/>
            <w:tcBorders>
              <w:left w:val="double" w:sz="4" w:space="0" w:color="auto"/>
            </w:tcBorders>
          </w:tcPr>
          <w:p w14:paraId="2757060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3" w:type="pct"/>
          </w:tcPr>
          <w:p w14:paraId="508F3CF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3.1.3.3 </w:t>
            </w:r>
            <w:r w:rsidRPr="00327310">
              <w:rPr>
                <w:rFonts w:ascii="Garamond" w:hAnsi="Garamond"/>
                <w:bCs/>
                <w:sz w:val="20"/>
                <w:szCs w:val="20"/>
                <w:lang w:val="sq-AL"/>
              </w:rPr>
              <w:t xml:space="preserve">(*) </w:t>
            </w:r>
            <w:r w:rsidRPr="00327310">
              <w:rPr>
                <w:rFonts w:ascii="Garamond" w:hAnsi="Garamond"/>
                <w:sz w:val="20"/>
                <w:szCs w:val="20"/>
                <w:lang w:val="sq-AL"/>
              </w:rPr>
              <w:t>Proceset e validimit të të nxënit joformal dhe informal hartohen në bazë të një plani individual zhvillimi dhe në instrumentet e vlerësimit të përcaktuara në kuadrin ligjor.</w:t>
            </w:r>
          </w:p>
        </w:tc>
        <w:tc>
          <w:tcPr>
            <w:tcW w:w="516" w:type="pct"/>
          </w:tcPr>
          <w:p w14:paraId="2223BF2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8" w:type="pct"/>
          </w:tcPr>
          <w:p w14:paraId="506A188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9" w:type="pct"/>
          </w:tcPr>
          <w:p w14:paraId="113CFF6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2" w:type="pct"/>
          </w:tcPr>
          <w:p w14:paraId="6C1F5AB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7" w:type="pct"/>
            <w:tcBorders>
              <w:right w:val="double" w:sz="4" w:space="0" w:color="auto"/>
            </w:tcBorders>
          </w:tcPr>
          <w:p w14:paraId="09E77307"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2D195F2" w14:textId="77777777" w:rsidTr="00764C61">
        <w:trPr>
          <w:jc w:val="center"/>
        </w:trPr>
        <w:tc>
          <w:tcPr>
            <w:tcW w:w="676" w:type="pct"/>
            <w:vMerge w:val="restart"/>
            <w:tcBorders>
              <w:left w:val="double" w:sz="4" w:space="0" w:color="auto"/>
            </w:tcBorders>
          </w:tcPr>
          <w:p w14:paraId="6B2733C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3.1.4 Garantimi i kompetencave kyçe/ndërkurrikulare dhe i kompetencave profesionale përmes kurrikulës së planifikuar dhe të zbatuar.</w:t>
            </w:r>
          </w:p>
        </w:tc>
        <w:tc>
          <w:tcPr>
            <w:tcW w:w="1943" w:type="pct"/>
          </w:tcPr>
          <w:p w14:paraId="59F9CC7B"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3.1.4.1 Mësimdhënësit e ofruesit të AFP-së identifikojnë rezultatet e të nxënit (njohuritë, aftësitë dhe kompetencat më të gjera) për kompetencat kyçe dhe kompetencat bazë (në veçanti për aftësitë e shkrimit dhe leximit, aftësitë numerike, aftësitë komunikuese dhe aftësitë digjitale), siç përcaktohet nga kuadri i miratuar nga institucionet në nivel qendror.</w:t>
            </w:r>
          </w:p>
        </w:tc>
        <w:tc>
          <w:tcPr>
            <w:tcW w:w="516" w:type="pct"/>
          </w:tcPr>
          <w:p w14:paraId="5F26624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5E94FE3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9" w:type="pct"/>
          </w:tcPr>
          <w:p w14:paraId="14E9FF5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6FF67C22"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7" w:type="pct"/>
            <w:tcBorders>
              <w:right w:val="double" w:sz="4" w:space="0" w:color="auto"/>
            </w:tcBorders>
          </w:tcPr>
          <w:p w14:paraId="5E050D06"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D85230C" w14:textId="77777777" w:rsidTr="00764C61">
        <w:trPr>
          <w:trHeight w:val="967"/>
          <w:jc w:val="center"/>
        </w:trPr>
        <w:tc>
          <w:tcPr>
            <w:tcW w:w="676" w:type="pct"/>
            <w:vMerge/>
            <w:tcBorders>
              <w:left w:val="double" w:sz="4" w:space="0" w:color="auto"/>
            </w:tcBorders>
          </w:tcPr>
          <w:p w14:paraId="3D721492"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3" w:type="pct"/>
          </w:tcPr>
          <w:p w14:paraId="5C8BEC9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3.1.4.2 Nëpërmjet zbatimit të kurrikulës, mësimdhënësit dhe ofruesit e AFP-së synojnë qartazi zhvillimin e kompetencave kyçe, me një theks të veçantë tek aftësitë e shkrimit dhe leximit, aftësitë numerike, aftësitë komunikuese dhe aftësitë digjitale. </w:t>
            </w:r>
          </w:p>
        </w:tc>
        <w:tc>
          <w:tcPr>
            <w:tcW w:w="516" w:type="pct"/>
          </w:tcPr>
          <w:p w14:paraId="7F0085F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5220538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9" w:type="pct"/>
          </w:tcPr>
          <w:p w14:paraId="3D3088F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0A02D39B" w14:textId="77777777" w:rsidR="008412F5" w:rsidRPr="00327310" w:rsidRDefault="008412F5" w:rsidP="00764C61">
            <w:pPr>
              <w:pStyle w:val="ListParagraph"/>
              <w:spacing w:after="0" w:line="240" w:lineRule="auto"/>
              <w:ind w:left="0"/>
              <w:rPr>
                <w:rFonts w:ascii="Garamond" w:hAnsi="Garamond"/>
                <w:sz w:val="20"/>
                <w:szCs w:val="20"/>
                <w:lang w:val="sq-AL"/>
              </w:rPr>
            </w:pPr>
          </w:p>
          <w:p w14:paraId="297CA86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7" w:type="pct"/>
            <w:tcBorders>
              <w:right w:val="double" w:sz="4" w:space="0" w:color="auto"/>
            </w:tcBorders>
          </w:tcPr>
          <w:p w14:paraId="2E55D2C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6DC33E3" w14:textId="77777777" w:rsidTr="00764C61">
        <w:trPr>
          <w:jc w:val="center"/>
        </w:trPr>
        <w:tc>
          <w:tcPr>
            <w:tcW w:w="676" w:type="pct"/>
            <w:vMerge w:val="restart"/>
            <w:tcBorders>
              <w:left w:val="double" w:sz="4" w:space="0" w:color="auto"/>
            </w:tcBorders>
          </w:tcPr>
          <w:p w14:paraId="679E40A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3.1.5 Realizimi i praktikës profesionale (në kushte reale pune </w:t>
            </w:r>
            <w:r w:rsidRPr="00327310">
              <w:rPr>
                <w:rFonts w:ascii="Garamond" w:hAnsi="Garamond"/>
                <w:sz w:val="20"/>
                <w:szCs w:val="20"/>
                <w:lang w:val="sq-AL"/>
              </w:rPr>
              <w:lastRenderedPageBreak/>
              <w:t>ose pothuajse reale, pra simulime) në kuadër të proceseve të mësimdhënies dhe vlerësimit</w:t>
            </w:r>
          </w:p>
        </w:tc>
        <w:tc>
          <w:tcPr>
            <w:tcW w:w="1943" w:type="pct"/>
          </w:tcPr>
          <w:p w14:paraId="3D231079"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lastRenderedPageBreak/>
              <w:t xml:space="preserve">3.1.5.1 </w:t>
            </w:r>
            <w:r w:rsidRPr="00327310">
              <w:rPr>
                <w:rFonts w:ascii="Garamond" w:hAnsi="Garamond"/>
                <w:bCs/>
                <w:sz w:val="20"/>
                <w:szCs w:val="20"/>
                <w:lang w:val="sq-AL"/>
              </w:rPr>
              <w:t xml:space="preserve">(*) </w:t>
            </w:r>
            <w:r w:rsidRPr="00327310">
              <w:rPr>
                <w:rFonts w:ascii="Garamond" w:hAnsi="Garamond"/>
                <w:sz w:val="20"/>
                <w:szCs w:val="20"/>
                <w:lang w:val="sq-AL"/>
              </w:rPr>
              <w:t>Mësimdhënësit/mentorët planifikojnë realizimin e praktikës profesionale/vlerësimeve, sipas raporteve të përcaktuara në standardin përkatës të kualifikimit profesional, në përputhje me përshkruesit e nivelit në KSHK.</w:t>
            </w:r>
          </w:p>
        </w:tc>
        <w:tc>
          <w:tcPr>
            <w:tcW w:w="516" w:type="pct"/>
          </w:tcPr>
          <w:p w14:paraId="053BC89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618A885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9" w:type="pct"/>
          </w:tcPr>
          <w:p w14:paraId="1A9D62C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22E21DD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37" w:type="pct"/>
            <w:tcBorders>
              <w:right w:val="double" w:sz="4" w:space="0" w:color="auto"/>
            </w:tcBorders>
          </w:tcPr>
          <w:p w14:paraId="57A09760"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D9BE3DD" w14:textId="77777777" w:rsidTr="00764C61">
        <w:trPr>
          <w:trHeight w:val="1025"/>
          <w:jc w:val="center"/>
        </w:trPr>
        <w:tc>
          <w:tcPr>
            <w:tcW w:w="676" w:type="pct"/>
            <w:vMerge/>
            <w:tcBorders>
              <w:left w:val="double" w:sz="4" w:space="0" w:color="auto"/>
            </w:tcBorders>
          </w:tcPr>
          <w:p w14:paraId="08BF688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3" w:type="pct"/>
          </w:tcPr>
          <w:p w14:paraId="3219CD73"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3.</w:t>
            </w:r>
            <w:r w:rsidRPr="00327310">
              <w:rPr>
                <w:rFonts w:ascii="Garamond" w:hAnsi="Garamond"/>
                <w:bCs/>
                <w:sz w:val="20"/>
                <w:szCs w:val="20"/>
                <w:lang w:val="sq-AL"/>
              </w:rPr>
              <w:t>1.5.2</w:t>
            </w:r>
            <w:r>
              <w:rPr>
                <w:rFonts w:ascii="Garamond" w:hAnsi="Garamond"/>
                <w:bCs/>
                <w:sz w:val="20"/>
                <w:szCs w:val="20"/>
                <w:lang w:val="sq-AL"/>
              </w:rPr>
              <w:t xml:space="preserve"> </w:t>
            </w:r>
            <w:r w:rsidRPr="00327310">
              <w:rPr>
                <w:rFonts w:ascii="Garamond" w:hAnsi="Garamond"/>
                <w:bCs/>
                <w:sz w:val="20"/>
                <w:szCs w:val="20"/>
                <w:lang w:val="sq-AL"/>
              </w:rPr>
              <w:t>(*) Mësimdhënësit në bashkëpunim me instruktorin e biznesit ose këshilluesin e VNJI-së, hartojnë programin e praktikës profesionale/vlerësimin në biznes, ku përcaktohet vendi i punës, periudha kohore dhe burimet e nevojshme për akses të barabartë për të gjithë nxënësit sipas kuadrit ligjor në fuqi.</w:t>
            </w:r>
          </w:p>
        </w:tc>
        <w:tc>
          <w:tcPr>
            <w:tcW w:w="516" w:type="pct"/>
          </w:tcPr>
          <w:p w14:paraId="22EB766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8" w:type="pct"/>
          </w:tcPr>
          <w:p w14:paraId="3E2A9ED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9" w:type="pct"/>
          </w:tcPr>
          <w:p w14:paraId="041C924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2" w:type="pct"/>
          </w:tcPr>
          <w:p w14:paraId="5723433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7ED5938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37" w:type="pct"/>
            <w:tcBorders>
              <w:right w:val="double" w:sz="4" w:space="0" w:color="auto"/>
            </w:tcBorders>
          </w:tcPr>
          <w:p w14:paraId="62889A7F" w14:textId="77777777" w:rsidR="008412F5" w:rsidRPr="00327310" w:rsidRDefault="008412F5" w:rsidP="00764C61">
            <w:pPr>
              <w:pStyle w:val="ListParagraph"/>
              <w:spacing w:after="0" w:line="240" w:lineRule="auto"/>
              <w:ind w:left="0"/>
              <w:rPr>
                <w:rFonts w:ascii="Garamond" w:hAnsi="Garamond"/>
                <w:sz w:val="20"/>
                <w:szCs w:val="20"/>
                <w:lang w:val="sq-AL"/>
              </w:rPr>
            </w:pPr>
          </w:p>
        </w:tc>
      </w:tr>
    </w:tbl>
    <w:p w14:paraId="50815413" w14:textId="77777777" w:rsidR="008412F5" w:rsidRPr="00327310" w:rsidRDefault="008412F5" w:rsidP="008412F5">
      <w:pPr>
        <w:pStyle w:val="ListParagraph"/>
        <w:ind w:firstLine="284"/>
        <w:jc w:val="both"/>
        <w:rPr>
          <w:rFonts w:ascii="Garamond" w:hAnsi="Garamond"/>
          <w:b/>
          <w:bCs/>
          <w:sz w:val="24"/>
          <w:szCs w:val="24"/>
          <w:lang w:val="sq-AL"/>
        </w:rPr>
      </w:pPr>
    </w:p>
    <w:p w14:paraId="0C833EFD" w14:textId="77777777" w:rsidR="008412F5" w:rsidRPr="00763FB5" w:rsidRDefault="008412F5" w:rsidP="008412F5">
      <w:pPr>
        <w:jc w:val="both"/>
        <w:rPr>
          <w:rFonts w:ascii="Garamond" w:hAnsi="Garamond"/>
          <w:b/>
          <w:sz w:val="24"/>
          <w:szCs w:val="24"/>
          <w:lang w:val="sq-AL"/>
        </w:rPr>
      </w:pPr>
      <w:bookmarkStart w:id="15" w:name="_Toc44689563"/>
      <w:r w:rsidRPr="00763FB5">
        <w:rPr>
          <w:rFonts w:ascii="Garamond" w:hAnsi="Garamond"/>
          <w:b/>
          <w:sz w:val="24"/>
          <w:szCs w:val="24"/>
          <w:lang w:val="sq-AL"/>
        </w:rPr>
        <w:t xml:space="preserve">Nënfusha 3.2 Mbështetja për zbatimin e kurrikulës për programet e AFP-së që çojnë në </w:t>
      </w:r>
      <w:bookmarkEnd w:id="15"/>
      <w:r w:rsidRPr="00763FB5">
        <w:rPr>
          <w:rFonts w:ascii="Garamond" w:hAnsi="Garamond"/>
          <w:b/>
          <w:sz w:val="24"/>
          <w:szCs w:val="24"/>
          <w:lang w:val="sq-AL"/>
        </w:rPr>
        <w:t xml:space="preserve">kualifikime profesionale të </w:t>
      </w:r>
      <w:r>
        <w:rPr>
          <w:rFonts w:ascii="Garamond" w:hAnsi="Garamond"/>
          <w:b/>
          <w:sz w:val="24"/>
          <w:szCs w:val="24"/>
          <w:lang w:val="sq-AL"/>
        </w:rPr>
        <w:t>niveleve 2–5</w:t>
      </w:r>
      <w:r w:rsidRPr="00763FB5">
        <w:rPr>
          <w:rFonts w:ascii="Garamond" w:hAnsi="Garamond"/>
          <w:b/>
          <w:sz w:val="24"/>
          <w:szCs w:val="24"/>
          <w:lang w:val="sq-AL"/>
        </w:rPr>
        <w:t xml:space="preserve"> të KSHK-së</w:t>
      </w:r>
    </w:p>
    <w:tbl>
      <w:tblPr>
        <w:tblW w:w="14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54"/>
        <w:gridCol w:w="5868"/>
        <w:gridCol w:w="1402"/>
        <w:gridCol w:w="1364"/>
        <w:gridCol w:w="1557"/>
        <w:gridCol w:w="1347"/>
        <w:gridCol w:w="1315"/>
      </w:tblGrid>
      <w:tr w:rsidR="008412F5" w:rsidRPr="00327310" w14:paraId="7AF71E6B" w14:textId="77777777" w:rsidTr="00764C61">
        <w:trPr>
          <w:trHeight w:val="600"/>
          <w:jc w:val="center"/>
        </w:trPr>
        <w:tc>
          <w:tcPr>
            <w:tcW w:w="1857" w:type="dxa"/>
            <w:gridSpan w:val="2"/>
            <w:tcBorders>
              <w:top w:val="double" w:sz="4" w:space="0" w:color="auto"/>
              <w:left w:val="double" w:sz="4" w:space="0" w:color="auto"/>
            </w:tcBorders>
            <w:shd w:val="clear" w:color="auto" w:fill="D9D9D9" w:themeFill="background1" w:themeFillShade="D9"/>
            <w:vAlign w:val="center"/>
          </w:tcPr>
          <w:p w14:paraId="22141A79"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TREGUESIT</w:t>
            </w:r>
          </w:p>
          <w:p w14:paraId="78484E06"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p>
        </w:tc>
        <w:tc>
          <w:tcPr>
            <w:tcW w:w="5868" w:type="dxa"/>
            <w:tcBorders>
              <w:top w:val="double" w:sz="4" w:space="0" w:color="auto"/>
            </w:tcBorders>
            <w:shd w:val="clear" w:color="auto" w:fill="D9D9D9" w:themeFill="background1" w:themeFillShade="D9"/>
            <w:vAlign w:val="center"/>
          </w:tcPr>
          <w:p w14:paraId="08E6339E"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Kriteret</w:t>
            </w:r>
          </w:p>
          <w:p w14:paraId="0256FC8F"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p>
        </w:tc>
        <w:tc>
          <w:tcPr>
            <w:tcW w:w="1402" w:type="dxa"/>
            <w:tcBorders>
              <w:top w:val="double" w:sz="4" w:space="0" w:color="auto"/>
            </w:tcBorders>
            <w:shd w:val="clear" w:color="auto" w:fill="D9D9D9" w:themeFill="background1" w:themeFillShade="D9"/>
            <w:vAlign w:val="center"/>
          </w:tcPr>
          <w:p w14:paraId="5E23AA5A"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p>
          <w:p w14:paraId="194B2594"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w:t>
            </w:r>
          </w:p>
          <w:p w14:paraId="72ED51F0"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rinj të AFP-së</w:t>
            </w:r>
          </w:p>
        </w:tc>
        <w:tc>
          <w:tcPr>
            <w:tcW w:w="1364" w:type="dxa"/>
            <w:tcBorders>
              <w:top w:val="double" w:sz="4" w:space="0" w:color="auto"/>
            </w:tcBorders>
            <w:shd w:val="clear" w:color="auto" w:fill="D9D9D9" w:themeFill="background1" w:themeFillShade="D9"/>
            <w:vAlign w:val="center"/>
          </w:tcPr>
          <w:p w14:paraId="156D66B7"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 xml:space="preserve">Ofruesit e kualifikimeve </w:t>
            </w:r>
            <w:r>
              <w:rPr>
                <w:rFonts w:ascii="Garamond" w:hAnsi="Garamond"/>
                <w:b/>
                <w:bCs/>
                <w:sz w:val="20"/>
                <w:szCs w:val="24"/>
                <w:lang w:val="sq-AL"/>
              </w:rPr>
              <w:t>2–5 të KSHK-së (arsimi profesional formal)</w:t>
            </w:r>
          </w:p>
        </w:tc>
        <w:tc>
          <w:tcPr>
            <w:tcW w:w="1557" w:type="dxa"/>
            <w:tcBorders>
              <w:top w:val="double" w:sz="4" w:space="0" w:color="auto"/>
            </w:tcBorders>
            <w:shd w:val="clear" w:color="auto" w:fill="D9D9D9" w:themeFill="background1" w:themeFillShade="D9"/>
            <w:vAlign w:val="center"/>
          </w:tcPr>
          <w:p w14:paraId="210A3E25"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 kualifikimeve të të nxënit gjatë gjithë jetës (LLL)</w:t>
            </w:r>
          </w:p>
        </w:tc>
        <w:tc>
          <w:tcPr>
            <w:tcW w:w="1347" w:type="dxa"/>
            <w:tcBorders>
              <w:top w:val="double" w:sz="4" w:space="0" w:color="auto"/>
            </w:tcBorders>
            <w:shd w:val="clear" w:color="auto" w:fill="D9D9D9" w:themeFill="background1" w:themeFillShade="D9"/>
            <w:vAlign w:val="center"/>
          </w:tcPr>
          <w:p w14:paraId="20FEC5BE"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 validimit të të nxënit joformal dhe informal (VNJI)</w:t>
            </w:r>
          </w:p>
        </w:tc>
        <w:tc>
          <w:tcPr>
            <w:tcW w:w="1315" w:type="dxa"/>
            <w:tcBorders>
              <w:top w:val="double" w:sz="4" w:space="0" w:color="auto"/>
              <w:right w:val="double" w:sz="4" w:space="0" w:color="auto"/>
            </w:tcBorders>
            <w:shd w:val="clear" w:color="auto" w:fill="D9D9D9" w:themeFill="background1" w:themeFillShade="D9"/>
            <w:vAlign w:val="center"/>
          </w:tcPr>
          <w:p w14:paraId="68F4DB9E"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A është përmbushur kriteri</w:t>
            </w:r>
          </w:p>
          <w:p w14:paraId="149A3530"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(Po/Jo)</w:t>
            </w:r>
          </w:p>
        </w:tc>
      </w:tr>
      <w:tr w:rsidR="008412F5" w:rsidRPr="00327310" w14:paraId="0A170C06" w14:textId="77777777" w:rsidTr="00764C61">
        <w:tblPrEx>
          <w:jc w:val="left"/>
        </w:tblPrEx>
        <w:trPr>
          <w:trHeight w:val="1106"/>
        </w:trPr>
        <w:tc>
          <w:tcPr>
            <w:tcW w:w="1857" w:type="dxa"/>
            <w:gridSpan w:val="2"/>
            <w:vMerge w:val="restart"/>
            <w:tcBorders>
              <w:left w:val="double" w:sz="4" w:space="0" w:color="auto"/>
            </w:tcBorders>
          </w:tcPr>
          <w:p w14:paraId="7556E09C"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3.2.1 Tekstet mësimore, materialet shtesë mbështetëse mësimore dhe vlerësuese, si dhe pajisjet e materialet e tjera ndihmëse për mësimdhënien (duke përfshirë mjetet digjitale)</w:t>
            </w:r>
          </w:p>
        </w:tc>
        <w:tc>
          <w:tcPr>
            <w:tcW w:w="5868" w:type="dxa"/>
          </w:tcPr>
          <w:p w14:paraId="20F3B6B0" w14:textId="77777777" w:rsidR="008412F5" w:rsidRPr="00327310" w:rsidRDefault="008412F5" w:rsidP="00764C61">
            <w:pPr>
              <w:pStyle w:val="ListParagraph"/>
              <w:spacing w:after="0" w:line="240" w:lineRule="auto"/>
              <w:ind w:left="0"/>
              <w:rPr>
                <w:rFonts w:ascii="Garamond" w:hAnsi="Garamond"/>
                <w:bCs/>
                <w:sz w:val="20"/>
                <w:szCs w:val="24"/>
                <w:lang w:val="sq-AL"/>
              </w:rPr>
            </w:pPr>
            <w:r w:rsidRPr="00327310">
              <w:rPr>
                <w:rFonts w:ascii="Garamond" w:hAnsi="Garamond"/>
                <w:sz w:val="20"/>
                <w:szCs w:val="24"/>
                <w:lang w:val="sq-AL"/>
              </w:rPr>
              <w:t>3.</w:t>
            </w:r>
            <w:r w:rsidRPr="00327310">
              <w:rPr>
                <w:rFonts w:ascii="Garamond" w:hAnsi="Garamond"/>
                <w:bCs/>
                <w:sz w:val="20"/>
                <w:szCs w:val="24"/>
                <w:lang w:val="sq-AL"/>
              </w:rPr>
              <w:t>2.1.1 (*) Drejtoria e ofruesit të AFP-së siguron tekste mësimore, materiale mbështetëse mësimore dhe vlerësuese, materiale digjitale si dhe pajisje e materiale të tjera ndihmëse për mësimdhënien, të cilat nevojiten për zbatimin e programit të mësimdhënies, në përputhje me legjislacionin në fuqi, për të gjitha kualifikimet profesionale dhe modalitetin që ofrohen.</w:t>
            </w:r>
          </w:p>
        </w:tc>
        <w:tc>
          <w:tcPr>
            <w:tcW w:w="1402" w:type="dxa"/>
          </w:tcPr>
          <w:p w14:paraId="40B434B6"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364" w:type="dxa"/>
          </w:tcPr>
          <w:p w14:paraId="5C56FB7D"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557" w:type="dxa"/>
          </w:tcPr>
          <w:p w14:paraId="0FFACE4B"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347" w:type="dxa"/>
          </w:tcPr>
          <w:p w14:paraId="23C8CB98"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315" w:type="dxa"/>
            <w:tcBorders>
              <w:right w:val="double" w:sz="4" w:space="0" w:color="auto"/>
            </w:tcBorders>
          </w:tcPr>
          <w:p w14:paraId="69375078"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7CB79CB5" w14:textId="77777777" w:rsidTr="00764C61">
        <w:tblPrEx>
          <w:jc w:val="left"/>
        </w:tblPrEx>
        <w:trPr>
          <w:trHeight w:val="890"/>
        </w:trPr>
        <w:tc>
          <w:tcPr>
            <w:tcW w:w="1857" w:type="dxa"/>
            <w:gridSpan w:val="2"/>
            <w:vMerge/>
            <w:tcBorders>
              <w:left w:val="double" w:sz="4" w:space="0" w:color="auto"/>
            </w:tcBorders>
          </w:tcPr>
          <w:p w14:paraId="31350265"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5868" w:type="dxa"/>
          </w:tcPr>
          <w:p w14:paraId="59A9A9B7"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3.2.1.2 Drejtoria e ofruesit të AFP-së siguron pajisje të teknologjisë së informacionit dhe komunikimit, programe kompjuterike, aplikacione dhe lidhje me internet, të cilat nevojiten për të gjitha veprimtaritë mësimore të planifikuara, vlerësimin etj.</w:t>
            </w:r>
          </w:p>
        </w:tc>
        <w:tc>
          <w:tcPr>
            <w:tcW w:w="1402" w:type="dxa"/>
          </w:tcPr>
          <w:p w14:paraId="5CE0C731"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364" w:type="dxa"/>
          </w:tcPr>
          <w:p w14:paraId="36468A5A"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557" w:type="dxa"/>
          </w:tcPr>
          <w:p w14:paraId="4B367995"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347" w:type="dxa"/>
          </w:tcPr>
          <w:p w14:paraId="03E32FA3"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p w14:paraId="3DA71FE9"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1315" w:type="dxa"/>
            <w:tcBorders>
              <w:right w:val="double" w:sz="4" w:space="0" w:color="auto"/>
            </w:tcBorders>
          </w:tcPr>
          <w:p w14:paraId="4F80011D"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24F5CC92" w14:textId="77777777" w:rsidTr="00764C61">
        <w:tblPrEx>
          <w:jc w:val="left"/>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403" w:type="dxa"/>
          </w:tcPr>
          <w:p w14:paraId="2B03D087"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p>
        </w:tc>
        <w:tc>
          <w:tcPr>
            <w:tcW w:w="13307" w:type="dxa"/>
            <w:gridSpan w:val="7"/>
          </w:tcPr>
          <w:p w14:paraId="4C639FC9"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p>
        </w:tc>
      </w:tr>
    </w:tbl>
    <w:p w14:paraId="04B5BBC2" w14:textId="77777777" w:rsidR="008412F5" w:rsidRDefault="008412F5" w:rsidP="008412F5">
      <w:pPr>
        <w:pStyle w:val="ListParagraph"/>
        <w:spacing w:after="0" w:line="240" w:lineRule="auto"/>
        <w:ind w:firstLine="284"/>
        <w:jc w:val="both"/>
        <w:rPr>
          <w:rFonts w:ascii="Garamond" w:hAnsi="Garamond"/>
          <w:b/>
          <w:sz w:val="24"/>
          <w:szCs w:val="24"/>
          <w:lang w:val="sq-AL"/>
        </w:rPr>
      </w:pPr>
      <w:bookmarkStart w:id="16" w:name="_Toc44689564"/>
      <w:bookmarkStart w:id="17" w:name="_Toc62649094"/>
      <w:bookmarkEnd w:id="16"/>
    </w:p>
    <w:p w14:paraId="4AF0B63A" w14:textId="77777777" w:rsidR="008412F5" w:rsidRDefault="008412F5" w:rsidP="008412F5">
      <w:pPr>
        <w:pStyle w:val="ListParagraph"/>
        <w:spacing w:after="0" w:line="240" w:lineRule="auto"/>
        <w:ind w:firstLine="284"/>
        <w:jc w:val="both"/>
        <w:rPr>
          <w:rFonts w:ascii="Garamond" w:hAnsi="Garamond"/>
          <w:b/>
          <w:sz w:val="24"/>
          <w:szCs w:val="24"/>
          <w:lang w:val="sq-AL"/>
        </w:rPr>
      </w:pPr>
    </w:p>
    <w:p w14:paraId="0F8BA41E" w14:textId="77777777" w:rsidR="008412F5" w:rsidRDefault="008412F5" w:rsidP="008412F5">
      <w:pPr>
        <w:pStyle w:val="ListParagraph"/>
        <w:spacing w:after="0" w:line="240" w:lineRule="auto"/>
        <w:ind w:firstLine="284"/>
        <w:jc w:val="both"/>
        <w:rPr>
          <w:rFonts w:ascii="Garamond" w:hAnsi="Garamond"/>
          <w:b/>
          <w:sz w:val="24"/>
          <w:szCs w:val="24"/>
          <w:lang w:val="sq-AL"/>
        </w:rPr>
      </w:pPr>
    </w:p>
    <w:p w14:paraId="7B23CC97" w14:textId="77777777" w:rsidR="008412F5" w:rsidRDefault="008412F5" w:rsidP="008412F5">
      <w:pPr>
        <w:pStyle w:val="ListParagraph"/>
        <w:spacing w:after="0" w:line="240" w:lineRule="auto"/>
        <w:ind w:firstLine="284"/>
        <w:jc w:val="both"/>
        <w:rPr>
          <w:rFonts w:ascii="Garamond" w:hAnsi="Garamond"/>
          <w:b/>
          <w:sz w:val="24"/>
          <w:szCs w:val="24"/>
          <w:lang w:val="sq-AL"/>
        </w:rPr>
      </w:pPr>
    </w:p>
    <w:p w14:paraId="276CB7D1" w14:textId="77777777" w:rsidR="008412F5" w:rsidRDefault="008412F5" w:rsidP="008412F5">
      <w:pPr>
        <w:pStyle w:val="ListParagraph"/>
        <w:spacing w:after="0" w:line="240" w:lineRule="auto"/>
        <w:ind w:firstLine="284"/>
        <w:jc w:val="both"/>
        <w:rPr>
          <w:rFonts w:ascii="Garamond" w:hAnsi="Garamond"/>
          <w:b/>
          <w:sz w:val="24"/>
          <w:szCs w:val="24"/>
          <w:lang w:val="sq-AL"/>
        </w:rPr>
      </w:pPr>
    </w:p>
    <w:p w14:paraId="10D48341" w14:textId="77777777" w:rsidR="008412F5" w:rsidRDefault="008412F5" w:rsidP="008412F5">
      <w:pPr>
        <w:pStyle w:val="ListParagraph"/>
        <w:spacing w:after="0" w:line="240" w:lineRule="auto"/>
        <w:ind w:firstLine="284"/>
        <w:jc w:val="both"/>
        <w:rPr>
          <w:rFonts w:ascii="Garamond" w:hAnsi="Garamond"/>
          <w:b/>
          <w:sz w:val="24"/>
          <w:szCs w:val="24"/>
          <w:lang w:val="sq-AL"/>
        </w:rPr>
      </w:pPr>
    </w:p>
    <w:p w14:paraId="43BBFC2D" w14:textId="77777777" w:rsidR="008412F5" w:rsidRDefault="008412F5" w:rsidP="008412F5">
      <w:pPr>
        <w:pStyle w:val="ListParagraph"/>
        <w:spacing w:after="0" w:line="240" w:lineRule="auto"/>
        <w:ind w:firstLine="284"/>
        <w:jc w:val="both"/>
        <w:rPr>
          <w:rFonts w:ascii="Garamond" w:hAnsi="Garamond"/>
          <w:b/>
          <w:sz w:val="24"/>
          <w:szCs w:val="24"/>
          <w:lang w:val="sq-AL"/>
        </w:rPr>
      </w:pPr>
    </w:p>
    <w:p w14:paraId="1DC62098" w14:textId="77777777" w:rsidR="008412F5" w:rsidRDefault="008412F5" w:rsidP="008412F5">
      <w:pPr>
        <w:pStyle w:val="ListParagraph"/>
        <w:spacing w:after="0" w:line="240" w:lineRule="auto"/>
        <w:ind w:firstLine="284"/>
        <w:jc w:val="both"/>
        <w:rPr>
          <w:rFonts w:ascii="Garamond" w:hAnsi="Garamond"/>
          <w:b/>
          <w:sz w:val="24"/>
          <w:szCs w:val="24"/>
          <w:lang w:val="sq-AL"/>
        </w:rPr>
      </w:pPr>
    </w:p>
    <w:p w14:paraId="54DD1D51" w14:textId="77777777" w:rsidR="008412F5" w:rsidRDefault="008412F5" w:rsidP="008412F5">
      <w:pPr>
        <w:pStyle w:val="ListParagraph"/>
        <w:spacing w:after="0" w:line="240" w:lineRule="auto"/>
        <w:ind w:firstLine="284"/>
        <w:jc w:val="both"/>
        <w:rPr>
          <w:rFonts w:ascii="Garamond" w:hAnsi="Garamond"/>
          <w:b/>
          <w:sz w:val="24"/>
          <w:szCs w:val="24"/>
          <w:lang w:val="sq-AL"/>
        </w:rPr>
      </w:pPr>
    </w:p>
    <w:p w14:paraId="41BA8BCF" w14:textId="77777777" w:rsidR="008412F5" w:rsidRPr="00327310" w:rsidRDefault="008412F5" w:rsidP="008412F5">
      <w:pPr>
        <w:pStyle w:val="ListParagraph"/>
        <w:spacing w:after="0" w:line="240" w:lineRule="auto"/>
        <w:ind w:firstLine="284"/>
        <w:jc w:val="both"/>
        <w:rPr>
          <w:rFonts w:ascii="Garamond" w:hAnsi="Garamond"/>
          <w:b/>
          <w:sz w:val="24"/>
          <w:szCs w:val="24"/>
          <w:lang w:val="sq-AL"/>
        </w:rPr>
      </w:pPr>
      <w:r w:rsidRPr="00327310">
        <w:rPr>
          <w:rFonts w:ascii="Garamond" w:hAnsi="Garamond"/>
          <w:b/>
          <w:sz w:val="24"/>
          <w:szCs w:val="24"/>
          <w:lang w:val="sq-AL"/>
        </w:rPr>
        <w:lastRenderedPageBreak/>
        <w:t xml:space="preserve">Fusha 4. Mësimdhënia dhe </w:t>
      </w:r>
      <w:bookmarkEnd w:id="17"/>
      <w:r w:rsidRPr="00327310">
        <w:rPr>
          <w:rFonts w:ascii="Garamond" w:hAnsi="Garamond"/>
          <w:b/>
          <w:sz w:val="24"/>
          <w:szCs w:val="24"/>
          <w:lang w:val="sq-AL"/>
        </w:rPr>
        <w:t>të nxënit</w:t>
      </w:r>
    </w:p>
    <w:p w14:paraId="2C9266CE" w14:textId="77777777" w:rsidR="008412F5" w:rsidRPr="00327310" w:rsidRDefault="008412F5" w:rsidP="008412F5">
      <w:pPr>
        <w:pStyle w:val="ListParagraph"/>
        <w:ind w:firstLine="284"/>
        <w:jc w:val="both"/>
        <w:rPr>
          <w:rFonts w:ascii="Garamond" w:hAnsi="Garamond"/>
          <w:sz w:val="24"/>
          <w:szCs w:val="24"/>
          <w:lang w:val="sq-AL"/>
        </w:rPr>
      </w:pPr>
      <w:bookmarkStart w:id="18" w:name="_Toc44689566"/>
      <w:r w:rsidRPr="00327310">
        <w:rPr>
          <w:rFonts w:ascii="Garamond" w:hAnsi="Garamond"/>
          <w:b/>
          <w:sz w:val="24"/>
          <w:szCs w:val="24"/>
          <w:lang w:val="sq-AL"/>
        </w:rPr>
        <w:t xml:space="preserve">Nënfusha 4.1 </w:t>
      </w:r>
      <w:bookmarkEnd w:id="18"/>
      <w:r w:rsidRPr="00327310">
        <w:rPr>
          <w:rFonts w:ascii="Garamond" w:hAnsi="Garamond"/>
          <w:b/>
          <w:sz w:val="24"/>
          <w:szCs w:val="24"/>
          <w:lang w:val="sq-AL"/>
        </w:rPr>
        <w:t>Planifikimi i procesit mësimor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880"/>
        <w:gridCol w:w="3674"/>
        <w:gridCol w:w="1368"/>
        <w:gridCol w:w="1368"/>
        <w:gridCol w:w="1451"/>
        <w:gridCol w:w="1195"/>
        <w:gridCol w:w="1284"/>
      </w:tblGrid>
      <w:tr w:rsidR="008412F5" w:rsidRPr="00327310" w14:paraId="530155BD" w14:textId="77777777" w:rsidTr="00764C61">
        <w:tc>
          <w:tcPr>
            <w:tcW w:w="613" w:type="pct"/>
            <w:tcBorders>
              <w:top w:val="double" w:sz="4" w:space="0" w:color="auto"/>
              <w:left w:val="double" w:sz="4" w:space="0" w:color="auto"/>
              <w:bottom w:val="double" w:sz="4" w:space="0" w:color="auto"/>
            </w:tcBorders>
            <w:shd w:val="clear" w:color="auto" w:fill="D9D9D9" w:themeFill="background1" w:themeFillShade="D9"/>
            <w:vAlign w:val="center"/>
          </w:tcPr>
          <w:p w14:paraId="077EC82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1994" w:type="pct"/>
            <w:gridSpan w:val="2"/>
            <w:tcBorders>
              <w:top w:val="double" w:sz="4" w:space="0" w:color="auto"/>
              <w:bottom w:val="double" w:sz="4" w:space="0" w:color="auto"/>
            </w:tcBorders>
            <w:shd w:val="clear" w:color="auto" w:fill="D9D9D9" w:themeFill="background1" w:themeFillShade="D9"/>
            <w:vAlign w:val="center"/>
          </w:tcPr>
          <w:p w14:paraId="25D229EF"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491" w:type="pct"/>
            <w:tcBorders>
              <w:top w:val="double" w:sz="4" w:space="0" w:color="auto"/>
              <w:bottom w:val="double" w:sz="4" w:space="0" w:color="auto"/>
            </w:tcBorders>
            <w:shd w:val="clear" w:color="auto" w:fill="D9D9D9" w:themeFill="background1" w:themeFillShade="D9"/>
            <w:vAlign w:val="center"/>
          </w:tcPr>
          <w:p w14:paraId="0A9F898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256B8909"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2974F051"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0634294C"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91" w:type="pct"/>
            <w:tcBorders>
              <w:top w:val="double" w:sz="4" w:space="0" w:color="auto"/>
              <w:bottom w:val="double" w:sz="4" w:space="0" w:color="auto"/>
            </w:tcBorders>
            <w:shd w:val="clear" w:color="auto" w:fill="D9D9D9" w:themeFill="background1" w:themeFillShade="D9"/>
            <w:vAlign w:val="center"/>
          </w:tcPr>
          <w:p w14:paraId="1A21023B"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521" w:type="pct"/>
            <w:tcBorders>
              <w:top w:val="double" w:sz="4" w:space="0" w:color="auto"/>
              <w:bottom w:val="double" w:sz="4" w:space="0" w:color="auto"/>
            </w:tcBorders>
            <w:shd w:val="clear" w:color="auto" w:fill="D9D9D9" w:themeFill="background1" w:themeFillShade="D9"/>
            <w:vAlign w:val="center"/>
          </w:tcPr>
          <w:p w14:paraId="7F5F5F0E"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29" w:type="pct"/>
            <w:tcBorders>
              <w:top w:val="double" w:sz="4" w:space="0" w:color="auto"/>
              <w:bottom w:val="double" w:sz="4" w:space="0" w:color="auto"/>
            </w:tcBorders>
            <w:shd w:val="clear" w:color="auto" w:fill="D9D9D9" w:themeFill="background1" w:themeFillShade="D9"/>
            <w:vAlign w:val="center"/>
          </w:tcPr>
          <w:p w14:paraId="08CEA32F"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60" w:type="pct"/>
            <w:tcBorders>
              <w:top w:val="double" w:sz="4" w:space="0" w:color="auto"/>
              <w:bottom w:val="double" w:sz="4" w:space="0" w:color="auto"/>
              <w:right w:val="double" w:sz="4" w:space="0" w:color="auto"/>
            </w:tcBorders>
            <w:shd w:val="clear" w:color="auto" w:fill="D9D9D9" w:themeFill="background1" w:themeFillShade="D9"/>
            <w:vAlign w:val="center"/>
          </w:tcPr>
          <w:p w14:paraId="7A5708BA"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77F6D2C9"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6C09D892" w14:textId="77777777" w:rsidTr="00764C61">
        <w:tc>
          <w:tcPr>
            <w:tcW w:w="613" w:type="pct"/>
            <w:vMerge w:val="restart"/>
            <w:tcBorders>
              <w:top w:val="double" w:sz="4" w:space="0" w:color="auto"/>
              <w:left w:val="double" w:sz="4" w:space="0" w:color="auto"/>
            </w:tcBorders>
          </w:tcPr>
          <w:p w14:paraId="7543231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4.1.1 Karakteristikat e planifikimit ditor të mësimdhënësve</w:t>
            </w:r>
          </w:p>
        </w:tc>
        <w:tc>
          <w:tcPr>
            <w:tcW w:w="1994" w:type="pct"/>
            <w:gridSpan w:val="2"/>
            <w:tcBorders>
              <w:top w:val="double" w:sz="4" w:space="0" w:color="auto"/>
            </w:tcBorders>
          </w:tcPr>
          <w:p w14:paraId="2BA593ED"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 xml:space="preserve">4. </w:t>
            </w:r>
            <w:r w:rsidRPr="00327310">
              <w:rPr>
                <w:rFonts w:ascii="Garamond" w:hAnsi="Garamond"/>
                <w:bCs/>
                <w:sz w:val="20"/>
                <w:szCs w:val="20"/>
                <w:lang w:val="sq-AL"/>
              </w:rPr>
              <w:t>1.1.1 (*) Mësimdhënësit hartojnë planet ditore të veprimtarive mësimore për të gjitha lëndët/modulet sipas kurrikulave të miratuara.</w:t>
            </w:r>
          </w:p>
        </w:tc>
        <w:tc>
          <w:tcPr>
            <w:tcW w:w="491" w:type="pct"/>
            <w:tcBorders>
              <w:top w:val="double" w:sz="4" w:space="0" w:color="auto"/>
            </w:tcBorders>
          </w:tcPr>
          <w:p w14:paraId="0A28C70A"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91" w:type="pct"/>
            <w:tcBorders>
              <w:top w:val="double" w:sz="4" w:space="0" w:color="auto"/>
            </w:tcBorders>
          </w:tcPr>
          <w:p w14:paraId="5968793D"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521" w:type="pct"/>
            <w:tcBorders>
              <w:top w:val="double" w:sz="4" w:space="0" w:color="auto"/>
            </w:tcBorders>
          </w:tcPr>
          <w:p w14:paraId="17FFF24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9" w:type="pct"/>
            <w:tcBorders>
              <w:top w:val="double" w:sz="4" w:space="0" w:color="auto"/>
            </w:tcBorders>
          </w:tcPr>
          <w:p w14:paraId="50FD59F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top w:val="double" w:sz="4" w:space="0" w:color="auto"/>
              <w:right w:val="double" w:sz="4" w:space="0" w:color="auto"/>
            </w:tcBorders>
          </w:tcPr>
          <w:p w14:paraId="227134F8"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7BF0555" w14:textId="77777777" w:rsidTr="00764C61">
        <w:tc>
          <w:tcPr>
            <w:tcW w:w="613" w:type="pct"/>
            <w:vMerge/>
            <w:tcBorders>
              <w:left w:val="double" w:sz="4" w:space="0" w:color="auto"/>
            </w:tcBorders>
          </w:tcPr>
          <w:p w14:paraId="50C64802"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4" w:type="pct"/>
            <w:gridSpan w:val="2"/>
          </w:tcPr>
          <w:p w14:paraId="61C54F03"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4.</w:t>
            </w:r>
            <w:r w:rsidRPr="00327310">
              <w:rPr>
                <w:rFonts w:ascii="Garamond" w:hAnsi="Garamond"/>
                <w:bCs/>
                <w:sz w:val="20"/>
                <w:szCs w:val="20"/>
                <w:lang w:val="sq-AL"/>
              </w:rPr>
              <w:t>1.1.2 (*) Drejtoria e ofruesit të AFP-së harton orarin mësimor për të gjitha kualifikimet profesionale dhe e bën publik për mësimdhënësit dhe nxënësit/kursantët.</w:t>
            </w:r>
          </w:p>
        </w:tc>
        <w:tc>
          <w:tcPr>
            <w:tcW w:w="491" w:type="pct"/>
          </w:tcPr>
          <w:p w14:paraId="6975219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1" w:type="pct"/>
          </w:tcPr>
          <w:p w14:paraId="4D95C51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21" w:type="pct"/>
          </w:tcPr>
          <w:p w14:paraId="05B5EDA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9" w:type="pct"/>
          </w:tcPr>
          <w:p w14:paraId="2F6AD64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right w:val="double" w:sz="4" w:space="0" w:color="auto"/>
            </w:tcBorders>
          </w:tcPr>
          <w:p w14:paraId="30ABBEA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66D7585D" w14:textId="77777777" w:rsidTr="00764C61">
        <w:trPr>
          <w:trHeight w:val="440"/>
        </w:trPr>
        <w:tc>
          <w:tcPr>
            <w:tcW w:w="613" w:type="pct"/>
            <w:vMerge/>
            <w:tcBorders>
              <w:left w:val="double" w:sz="4" w:space="0" w:color="auto"/>
            </w:tcBorders>
          </w:tcPr>
          <w:p w14:paraId="063C6BD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4" w:type="pct"/>
            <w:gridSpan w:val="2"/>
          </w:tcPr>
          <w:p w14:paraId="5701E867"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4.1.1.3 Orari mësimor hartohet në përputhje me kriteret pedagogjike për ngarkesën mësimore të përballueshme nga nxënësit/</w:t>
            </w:r>
            <w:r>
              <w:rPr>
                <w:rFonts w:ascii="Garamond" w:hAnsi="Garamond"/>
                <w:sz w:val="20"/>
                <w:szCs w:val="20"/>
                <w:lang w:val="sq-AL"/>
              </w:rPr>
              <w:t xml:space="preserve"> </w:t>
            </w:r>
            <w:r w:rsidRPr="00327310">
              <w:rPr>
                <w:rFonts w:ascii="Garamond" w:hAnsi="Garamond"/>
                <w:sz w:val="20"/>
                <w:szCs w:val="20"/>
                <w:lang w:val="sq-AL"/>
              </w:rPr>
              <w:t>kursantët/</w:t>
            </w:r>
            <w:r>
              <w:rPr>
                <w:rFonts w:ascii="Garamond" w:hAnsi="Garamond"/>
                <w:sz w:val="20"/>
                <w:szCs w:val="20"/>
                <w:lang w:val="sq-AL"/>
              </w:rPr>
              <w:t xml:space="preserve"> </w:t>
            </w:r>
            <w:r w:rsidRPr="00327310">
              <w:rPr>
                <w:rFonts w:ascii="Garamond" w:hAnsi="Garamond"/>
                <w:sz w:val="20"/>
                <w:szCs w:val="20"/>
                <w:lang w:val="sq-AL"/>
              </w:rPr>
              <w:t>individët.</w:t>
            </w:r>
          </w:p>
        </w:tc>
        <w:tc>
          <w:tcPr>
            <w:tcW w:w="491" w:type="pct"/>
            <w:shd w:val="clear" w:color="auto" w:fill="auto"/>
          </w:tcPr>
          <w:p w14:paraId="7F3D945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1" w:type="pct"/>
          </w:tcPr>
          <w:p w14:paraId="78703D5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21" w:type="pct"/>
          </w:tcPr>
          <w:p w14:paraId="04EE494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9" w:type="pct"/>
          </w:tcPr>
          <w:p w14:paraId="447E5A2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right w:val="double" w:sz="4" w:space="0" w:color="auto"/>
            </w:tcBorders>
          </w:tcPr>
          <w:p w14:paraId="3E553B79"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11AE7F5D" w14:textId="77777777" w:rsidTr="00764C61">
        <w:trPr>
          <w:trHeight w:val="440"/>
        </w:trPr>
        <w:tc>
          <w:tcPr>
            <w:tcW w:w="613" w:type="pct"/>
            <w:vMerge/>
            <w:tcBorders>
              <w:left w:val="double" w:sz="4" w:space="0" w:color="auto"/>
            </w:tcBorders>
          </w:tcPr>
          <w:p w14:paraId="6E65C59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4" w:type="pct"/>
            <w:gridSpan w:val="2"/>
          </w:tcPr>
          <w:p w14:paraId="515A41F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4.1.1.4</w:t>
            </w:r>
            <w:r>
              <w:rPr>
                <w:rFonts w:ascii="Garamond" w:hAnsi="Garamond"/>
                <w:sz w:val="20"/>
                <w:szCs w:val="20"/>
                <w:lang w:val="sq-AL"/>
              </w:rPr>
              <w:t xml:space="preserve"> (*)</w:t>
            </w:r>
            <w:r w:rsidRPr="00327310">
              <w:rPr>
                <w:rFonts w:ascii="Garamond" w:hAnsi="Garamond"/>
                <w:bCs/>
                <w:sz w:val="20"/>
                <w:szCs w:val="20"/>
                <w:lang w:val="sq-AL"/>
              </w:rPr>
              <w:t xml:space="preserve"> </w:t>
            </w:r>
            <w:r w:rsidRPr="00327310">
              <w:rPr>
                <w:rFonts w:ascii="Garamond" w:hAnsi="Garamond"/>
                <w:sz w:val="20"/>
                <w:szCs w:val="20"/>
                <w:lang w:val="sq-AL"/>
              </w:rPr>
              <w:t>Validimi i seancave të të nxënit joformal dhe informal planifikohet dhe ofrohet nga këshilluesit, sipas disponueshmërisë së individit dhe që korrespondon me seancat e nevojshme për përgatitjen e portofolit të aftësive.</w:t>
            </w:r>
          </w:p>
        </w:tc>
        <w:tc>
          <w:tcPr>
            <w:tcW w:w="491" w:type="pct"/>
          </w:tcPr>
          <w:p w14:paraId="0EA09FC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1" w:type="pct"/>
          </w:tcPr>
          <w:p w14:paraId="431E7E5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521" w:type="pct"/>
          </w:tcPr>
          <w:p w14:paraId="03E1C2C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29" w:type="pct"/>
          </w:tcPr>
          <w:p w14:paraId="06F9E061" w14:textId="77777777" w:rsidR="008412F5" w:rsidRPr="00327310" w:rsidDel="009E29D9"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60" w:type="pct"/>
            <w:tcBorders>
              <w:right w:val="double" w:sz="4" w:space="0" w:color="auto"/>
            </w:tcBorders>
          </w:tcPr>
          <w:p w14:paraId="3B21906D"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DE28411" w14:textId="77777777" w:rsidTr="00764C61">
        <w:tc>
          <w:tcPr>
            <w:tcW w:w="613" w:type="pct"/>
            <w:vMerge w:val="restart"/>
            <w:tcBorders>
              <w:left w:val="double" w:sz="4" w:space="0" w:color="auto"/>
            </w:tcBorders>
          </w:tcPr>
          <w:p w14:paraId="6E58DD7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4.1.2 Karakteristikat e planeve të moduleve të praktikës profesionale</w:t>
            </w:r>
          </w:p>
        </w:tc>
        <w:tc>
          <w:tcPr>
            <w:tcW w:w="1994" w:type="pct"/>
            <w:gridSpan w:val="2"/>
          </w:tcPr>
          <w:p w14:paraId="6235E1EB"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4.</w:t>
            </w:r>
            <w:r w:rsidRPr="00327310">
              <w:rPr>
                <w:rFonts w:ascii="Garamond" w:hAnsi="Garamond"/>
                <w:bCs/>
                <w:sz w:val="20"/>
                <w:szCs w:val="20"/>
                <w:lang w:val="sq-AL"/>
              </w:rPr>
              <w:t>1.2.1</w:t>
            </w:r>
            <w:r>
              <w:rPr>
                <w:rFonts w:ascii="Garamond" w:hAnsi="Garamond"/>
                <w:bCs/>
                <w:sz w:val="20"/>
                <w:szCs w:val="20"/>
                <w:lang w:val="sq-AL"/>
              </w:rPr>
              <w:t xml:space="preserve"> (*)</w:t>
            </w:r>
            <w:r w:rsidRPr="00327310">
              <w:rPr>
                <w:rFonts w:ascii="Garamond" w:hAnsi="Garamond"/>
                <w:bCs/>
                <w:sz w:val="20"/>
                <w:szCs w:val="20"/>
                <w:lang w:val="sq-AL"/>
              </w:rPr>
              <w:t xml:space="preserve"> Mësimdhënësit në bashkëpunim me biznesin planifikojnë module kurrikulare/njësi mësimore të praktikës profesionale, mbështetur në kurrikulat ose programet e miratuara të trajnimit.</w:t>
            </w:r>
          </w:p>
        </w:tc>
        <w:tc>
          <w:tcPr>
            <w:tcW w:w="491" w:type="pct"/>
          </w:tcPr>
          <w:p w14:paraId="4828E89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1" w:type="pct"/>
          </w:tcPr>
          <w:p w14:paraId="646F91C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21" w:type="pct"/>
          </w:tcPr>
          <w:p w14:paraId="2737ECC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9" w:type="pct"/>
          </w:tcPr>
          <w:p w14:paraId="2783BA0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right w:val="double" w:sz="4" w:space="0" w:color="auto"/>
            </w:tcBorders>
          </w:tcPr>
          <w:p w14:paraId="038484AD"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2AB54F1" w14:textId="77777777" w:rsidTr="00764C61">
        <w:tc>
          <w:tcPr>
            <w:tcW w:w="613" w:type="pct"/>
            <w:vMerge/>
            <w:tcBorders>
              <w:left w:val="double" w:sz="4" w:space="0" w:color="auto"/>
            </w:tcBorders>
          </w:tcPr>
          <w:p w14:paraId="45F141E3"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4" w:type="pct"/>
            <w:gridSpan w:val="2"/>
          </w:tcPr>
          <w:p w14:paraId="537986C4"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4.</w:t>
            </w:r>
            <w:r w:rsidRPr="00327310">
              <w:rPr>
                <w:rFonts w:ascii="Garamond" w:hAnsi="Garamond"/>
                <w:bCs/>
                <w:sz w:val="20"/>
                <w:szCs w:val="20"/>
                <w:lang w:val="sq-AL"/>
              </w:rPr>
              <w:t>1.2.2 (*) Mësimdhënësit shfrytëzojnë burimet e nevojshme (infrastrukturën, mjediset dhe mjetet mësimore), të cilat janë në pronësi të ofruesit të AFP-së apo të vëna në dispozicion, në sajë të marrëveshjeve të bashkëpunimit me partnerët e biznesit, në bazë të vëllimeve dhe strukturës së përcaktuar në kurrikulat ose programet e miratuara të trajnimit.</w:t>
            </w:r>
          </w:p>
        </w:tc>
        <w:tc>
          <w:tcPr>
            <w:tcW w:w="491" w:type="pct"/>
          </w:tcPr>
          <w:p w14:paraId="7833FD3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1" w:type="pct"/>
          </w:tcPr>
          <w:p w14:paraId="7D863C6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21" w:type="pct"/>
          </w:tcPr>
          <w:p w14:paraId="21C7834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9" w:type="pct"/>
          </w:tcPr>
          <w:p w14:paraId="7E04D2A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right w:val="double" w:sz="4" w:space="0" w:color="auto"/>
            </w:tcBorders>
          </w:tcPr>
          <w:p w14:paraId="1A12148E"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C05DE3C" w14:textId="77777777" w:rsidTr="00764C61">
        <w:tc>
          <w:tcPr>
            <w:tcW w:w="613" w:type="pct"/>
            <w:vMerge/>
            <w:tcBorders>
              <w:left w:val="double" w:sz="4" w:space="0" w:color="auto"/>
            </w:tcBorders>
          </w:tcPr>
          <w:p w14:paraId="41E674B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4" w:type="pct"/>
            <w:gridSpan w:val="2"/>
          </w:tcPr>
          <w:p w14:paraId="4118A883"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4.1.2.3</w:t>
            </w:r>
            <w:r>
              <w:rPr>
                <w:rFonts w:ascii="Garamond" w:hAnsi="Garamond"/>
                <w:sz w:val="20"/>
                <w:szCs w:val="20"/>
                <w:lang w:val="sq-AL"/>
              </w:rPr>
              <w:t xml:space="preserve"> </w:t>
            </w:r>
            <w:r w:rsidRPr="00327310">
              <w:rPr>
                <w:rFonts w:ascii="Garamond" w:hAnsi="Garamond"/>
                <w:sz w:val="20"/>
                <w:szCs w:val="20"/>
                <w:lang w:val="sq-AL"/>
              </w:rPr>
              <w:t xml:space="preserve">Praktika profesionale realizohet në kohë dhe me burimet e nevojshme për të zhvilluar aftësitë praktike për të gjithë nxënësit/kursantët e regjistruar në kualifikimet profesionale përkatëse. </w:t>
            </w:r>
          </w:p>
        </w:tc>
        <w:tc>
          <w:tcPr>
            <w:tcW w:w="491" w:type="pct"/>
          </w:tcPr>
          <w:p w14:paraId="6A05721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1" w:type="pct"/>
          </w:tcPr>
          <w:p w14:paraId="6DF7E28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21" w:type="pct"/>
          </w:tcPr>
          <w:p w14:paraId="59B9677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9" w:type="pct"/>
          </w:tcPr>
          <w:p w14:paraId="38C45E0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right w:val="double" w:sz="4" w:space="0" w:color="auto"/>
            </w:tcBorders>
          </w:tcPr>
          <w:p w14:paraId="60594701"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E6650B9" w14:textId="77777777" w:rsidTr="00764C61">
        <w:trPr>
          <w:trHeight w:val="732"/>
        </w:trPr>
        <w:tc>
          <w:tcPr>
            <w:tcW w:w="613" w:type="pct"/>
            <w:vMerge/>
            <w:tcBorders>
              <w:left w:val="double" w:sz="4" w:space="0" w:color="auto"/>
            </w:tcBorders>
          </w:tcPr>
          <w:p w14:paraId="682B7AB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4" w:type="pct"/>
            <w:gridSpan w:val="2"/>
            <w:tcBorders>
              <w:bottom w:val="double" w:sz="4" w:space="0" w:color="auto"/>
            </w:tcBorders>
          </w:tcPr>
          <w:p w14:paraId="670F8CE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4.1.2.4 Praktika profesionale për të gjitha llojet e ofertave profesionale në biznes kryhet në bashkëpunim me biznesin, sipas marrëveshjeve të bashkëpunimit, në përputhje me rezultatet e të </w:t>
            </w:r>
            <w:r w:rsidRPr="00327310">
              <w:rPr>
                <w:rFonts w:ascii="Garamond" w:hAnsi="Garamond"/>
                <w:sz w:val="20"/>
                <w:szCs w:val="20"/>
                <w:lang w:val="sq-AL"/>
              </w:rPr>
              <w:lastRenderedPageBreak/>
              <w:t>nxënit të përcaktuara në kurrikulën e miratuar dhe në përputhje me standardet e kualifikimeve profesionale përkatëse/njësitë mësimore.</w:t>
            </w:r>
          </w:p>
        </w:tc>
        <w:tc>
          <w:tcPr>
            <w:tcW w:w="491" w:type="pct"/>
            <w:tcBorders>
              <w:bottom w:val="double" w:sz="4" w:space="0" w:color="auto"/>
            </w:tcBorders>
          </w:tcPr>
          <w:p w14:paraId="5A9E671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lastRenderedPageBreak/>
              <w:t>√</w:t>
            </w:r>
          </w:p>
        </w:tc>
        <w:tc>
          <w:tcPr>
            <w:tcW w:w="491" w:type="pct"/>
            <w:tcBorders>
              <w:bottom w:val="double" w:sz="4" w:space="0" w:color="auto"/>
            </w:tcBorders>
          </w:tcPr>
          <w:p w14:paraId="09E6CFE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21" w:type="pct"/>
            <w:tcBorders>
              <w:bottom w:val="double" w:sz="4" w:space="0" w:color="auto"/>
            </w:tcBorders>
          </w:tcPr>
          <w:p w14:paraId="76C1A66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9" w:type="pct"/>
            <w:tcBorders>
              <w:bottom w:val="double" w:sz="4" w:space="0" w:color="auto"/>
            </w:tcBorders>
          </w:tcPr>
          <w:p w14:paraId="7E18C78D"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bottom w:val="double" w:sz="4" w:space="0" w:color="auto"/>
              <w:right w:val="double" w:sz="4" w:space="0" w:color="auto"/>
            </w:tcBorders>
          </w:tcPr>
          <w:p w14:paraId="17AC7738"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D9E2407" w14:textId="77777777" w:rsidTr="00764C61">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3712" w:type="pct"/>
          <w:trHeight w:val="100"/>
        </w:trPr>
        <w:tc>
          <w:tcPr>
            <w:tcW w:w="613" w:type="pct"/>
            <w:tcBorders>
              <w:top w:val="double" w:sz="4" w:space="0" w:color="auto"/>
            </w:tcBorders>
          </w:tcPr>
          <w:p w14:paraId="46339795"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p>
        </w:tc>
        <w:tc>
          <w:tcPr>
            <w:tcW w:w="675" w:type="pct"/>
            <w:tcBorders>
              <w:top w:val="double" w:sz="4" w:space="0" w:color="auto"/>
            </w:tcBorders>
          </w:tcPr>
          <w:p w14:paraId="444B08D1"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p>
        </w:tc>
      </w:tr>
    </w:tbl>
    <w:p w14:paraId="06D8DBD1" w14:textId="77777777" w:rsidR="008412F5" w:rsidRPr="00327310" w:rsidRDefault="008412F5" w:rsidP="008412F5">
      <w:pPr>
        <w:pStyle w:val="ListParagraph"/>
        <w:ind w:firstLine="284"/>
        <w:jc w:val="both"/>
        <w:rPr>
          <w:rFonts w:ascii="Garamond" w:hAnsi="Garamond"/>
          <w:sz w:val="24"/>
          <w:szCs w:val="24"/>
          <w:lang w:val="sq-AL"/>
        </w:rPr>
      </w:pPr>
      <w:bookmarkStart w:id="19" w:name="_Toc44689567"/>
      <w:r w:rsidRPr="00327310">
        <w:rPr>
          <w:rFonts w:ascii="Garamond" w:hAnsi="Garamond"/>
          <w:b/>
          <w:sz w:val="24"/>
          <w:szCs w:val="24"/>
          <w:lang w:val="sq-AL"/>
        </w:rPr>
        <w:t xml:space="preserve">Nënfusha 4.2 </w:t>
      </w:r>
      <w:bookmarkEnd w:id="19"/>
      <w:r w:rsidRPr="00327310">
        <w:rPr>
          <w:rFonts w:ascii="Garamond" w:hAnsi="Garamond"/>
          <w:b/>
          <w:sz w:val="24"/>
          <w:szCs w:val="24"/>
          <w:lang w:val="sq-AL"/>
        </w:rPr>
        <w:t>Rezultatet e të nxënit</w:t>
      </w:r>
    </w:p>
    <w:tbl>
      <w:tblPr>
        <w:tblW w:w="1467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5850"/>
        <w:gridCol w:w="1440"/>
        <w:gridCol w:w="1440"/>
        <w:gridCol w:w="1530"/>
        <w:gridCol w:w="1260"/>
        <w:gridCol w:w="1350"/>
      </w:tblGrid>
      <w:tr w:rsidR="008412F5" w:rsidRPr="00327310" w14:paraId="3805D1E4" w14:textId="77777777" w:rsidTr="00764C61">
        <w:tc>
          <w:tcPr>
            <w:tcW w:w="1800" w:type="dxa"/>
            <w:tcBorders>
              <w:top w:val="double" w:sz="4" w:space="0" w:color="auto"/>
              <w:left w:val="double" w:sz="4" w:space="0" w:color="auto"/>
              <w:bottom w:val="double" w:sz="4" w:space="0" w:color="auto"/>
            </w:tcBorders>
            <w:shd w:val="clear" w:color="auto" w:fill="D9D9D9" w:themeFill="background1" w:themeFillShade="D9"/>
            <w:vAlign w:val="center"/>
          </w:tcPr>
          <w:p w14:paraId="4875880A"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TREGUESIT</w:t>
            </w:r>
          </w:p>
        </w:tc>
        <w:tc>
          <w:tcPr>
            <w:tcW w:w="5850" w:type="dxa"/>
            <w:tcBorders>
              <w:top w:val="double" w:sz="4" w:space="0" w:color="auto"/>
              <w:bottom w:val="double" w:sz="4" w:space="0" w:color="auto"/>
            </w:tcBorders>
            <w:shd w:val="clear" w:color="auto" w:fill="D9D9D9" w:themeFill="background1" w:themeFillShade="D9"/>
            <w:vAlign w:val="center"/>
          </w:tcPr>
          <w:p w14:paraId="5FF0BA6D"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Kriteret</w:t>
            </w:r>
          </w:p>
        </w:tc>
        <w:tc>
          <w:tcPr>
            <w:tcW w:w="1440" w:type="dxa"/>
            <w:tcBorders>
              <w:top w:val="double" w:sz="4" w:space="0" w:color="auto"/>
              <w:bottom w:val="double" w:sz="4" w:space="0" w:color="auto"/>
            </w:tcBorders>
            <w:shd w:val="clear" w:color="auto" w:fill="D9D9D9" w:themeFill="background1" w:themeFillShade="D9"/>
            <w:vAlign w:val="center"/>
          </w:tcPr>
          <w:p w14:paraId="312CDCC9"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p>
          <w:p w14:paraId="211EE828"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p>
          <w:p w14:paraId="39BD17E7"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w:t>
            </w:r>
          </w:p>
          <w:p w14:paraId="264ADCCD"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rinj të AFP-së</w:t>
            </w:r>
          </w:p>
        </w:tc>
        <w:tc>
          <w:tcPr>
            <w:tcW w:w="1440" w:type="dxa"/>
            <w:tcBorders>
              <w:top w:val="double" w:sz="4" w:space="0" w:color="auto"/>
              <w:bottom w:val="double" w:sz="4" w:space="0" w:color="auto"/>
            </w:tcBorders>
            <w:shd w:val="clear" w:color="auto" w:fill="D9D9D9" w:themeFill="background1" w:themeFillShade="D9"/>
            <w:vAlign w:val="center"/>
          </w:tcPr>
          <w:p w14:paraId="21055CD2"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 xml:space="preserve">Ofruesit e kualifikimeve </w:t>
            </w:r>
            <w:r>
              <w:rPr>
                <w:rFonts w:ascii="Garamond" w:hAnsi="Garamond"/>
                <w:b/>
                <w:bCs/>
                <w:sz w:val="20"/>
                <w:szCs w:val="24"/>
                <w:lang w:val="sq-AL"/>
              </w:rPr>
              <w:t>2–5 të KSHK-së (arsimi profesional formal)</w:t>
            </w:r>
          </w:p>
        </w:tc>
        <w:tc>
          <w:tcPr>
            <w:tcW w:w="1530" w:type="dxa"/>
            <w:tcBorders>
              <w:top w:val="double" w:sz="4" w:space="0" w:color="auto"/>
              <w:bottom w:val="double" w:sz="4" w:space="0" w:color="auto"/>
            </w:tcBorders>
            <w:shd w:val="clear" w:color="auto" w:fill="D9D9D9" w:themeFill="background1" w:themeFillShade="D9"/>
            <w:vAlign w:val="center"/>
          </w:tcPr>
          <w:p w14:paraId="65C6AE8B"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 kualifikimeve të të nxënit gjatë gjithë jetës (LLL)</w:t>
            </w:r>
          </w:p>
        </w:tc>
        <w:tc>
          <w:tcPr>
            <w:tcW w:w="1260" w:type="dxa"/>
            <w:tcBorders>
              <w:top w:val="double" w:sz="4" w:space="0" w:color="auto"/>
              <w:bottom w:val="double" w:sz="4" w:space="0" w:color="auto"/>
            </w:tcBorders>
            <w:shd w:val="clear" w:color="auto" w:fill="D9D9D9" w:themeFill="background1" w:themeFillShade="D9"/>
            <w:vAlign w:val="center"/>
          </w:tcPr>
          <w:p w14:paraId="1222E490"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Ofruesit e validimit të të nxënit joformal dhe informal (VNJI)</w:t>
            </w:r>
          </w:p>
        </w:tc>
        <w:tc>
          <w:tcPr>
            <w:tcW w:w="1350" w:type="dxa"/>
            <w:tcBorders>
              <w:top w:val="double" w:sz="4" w:space="0" w:color="auto"/>
              <w:bottom w:val="double" w:sz="4" w:space="0" w:color="auto"/>
              <w:right w:val="double" w:sz="4" w:space="0" w:color="auto"/>
            </w:tcBorders>
            <w:shd w:val="clear" w:color="auto" w:fill="D9D9D9" w:themeFill="background1" w:themeFillShade="D9"/>
            <w:vAlign w:val="center"/>
          </w:tcPr>
          <w:p w14:paraId="5FA72886"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A është përmbushur kriteri</w:t>
            </w:r>
          </w:p>
          <w:p w14:paraId="2ACA9012" w14:textId="77777777" w:rsidR="008412F5" w:rsidRPr="00327310" w:rsidRDefault="008412F5" w:rsidP="00764C61">
            <w:pPr>
              <w:pStyle w:val="ListParagraph"/>
              <w:spacing w:after="0" w:line="240" w:lineRule="auto"/>
              <w:ind w:left="0"/>
              <w:jc w:val="center"/>
              <w:rPr>
                <w:rFonts w:ascii="Garamond" w:hAnsi="Garamond"/>
                <w:b/>
                <w:bCs/>
                <w:sz w:val="20"/>
                <w:szCs w:val="24"/>
                <w:lang w:val="sq-AL"/>
              </w:rPr>
            </w:pPr>
            <w:r w:rsidRPr="00327310">
              <w:rPr>
                <w:rFonts w:ascii="Garamond" w:hAnsi="Garamond"/>
                <w:b/>
                <w:bCs/>
                <w:sz w:val="20"/>
                <w:szCs w:val="24"/>
                <w:lang w:val="sq-AL"/>
              </w:rPr>
              <w:t>(Po/Jo)</w:t>
            </w:r>
          </w:p>
        </w:tc>
      </w:tr>
      <w:tr w:rsidR="008412F5" w:rsidRPr="00327310" w14:paraId="482455F6" w14:textId="77777777" w:rsidTr="00764C61">
        <w:trPr>
          <w:trHeight w:val="438"/>
        </w:trPr>
        <w:tc>
          <w:tcPr>
            <w:tcW w:w="1800" w:type="dxa"/>
            <w:vMerge w:val="restart"/>
            <w:tcBorders>
              <w:top w:val="double" w:sz="4" w:space="0" w:color="auto"/>
              <w:left w:val="double" w:sz="4" w:space="0" w:color="auto"/>
            </w:tcBorders>
          </w:tcPr>
          <w:p w14:paraId="5251D904"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4.2.1 Rezultatet e të nxënit për çdo njësi mësimore në përputhje me kurrikulën e ofruesit të AFP-së</w:t>
            </w:r>
          </w:p>
        </w:tc>
        <w:tc>
          <w:tcPr>
            <w:tcW w:w="5850" w:type="dxa"/>
            <w:tcBorders>
              <w:top w:val="double" w:sz="4" w:space="0" w:color="auto"/>
            </w:tcBorders>
          </w:tcPr>
          <w:p w14:paraId="28FF4958" w14:textId="77777777" w:rsidR="008412F5" w:rsidRPr="00327310" w:rsidRDefault="008412F5" w:rsidP="00764C61">
            <w:pPr>
              <w:pStyle w:val="ListParagraph"/>
              <w:spacing w:after="0" w:line="240" w:lineRule="auto"/>
              <w:ind w:left="0"/>
              <w:rPr>
                <w:rFonts w:ascii="Garamond" w:hAnsi="Garamond"/>
                <w:bCs/>
                <w:sz w:val="20"/>
                <w:szCs w:val="24"/>
                <w:lang w:val="sq-AL"/>
              </w:rPr>
            </w:pPr>
            <w:r w:rsidRPr="00327310">
              <w:rPr>
                <w:rFonts w:ascii="Garamond" w:hAnsi="Garamond"/>
                <w:sz w:val="20"/>
                <w:szCs w:val="24"/>
                <w:lang w:val="sq-AL"/>
              </w:rPr>
              <w:t>4.</w:t>
            </w:r>
            <w:r w:rsidRPr="00327310">
              <w:rPr>
                <w:rFonts w:ascii="Garamond" w:hAnsi="Garamond"/>
                <w:bCs/>
                <w:sz w:val="20"/>
                <w:szCs w:val="24"/>
                <w:lang w:val="sq-AL"/>
              </w:rPr>
              <w:t>2.1.1</w:t>
            </w:r>
            <w:r>
              <w:rPr>
                <w:rFonts w:ascii="Garamond" w:hAnsi="Garamond"/>
                <w:bCs/>
                <w:sz w:val="20"/>
                <w:szCs w:val="24"/>
                <w:lang w:val="sq-AL"/>
              </w:rPr>
              <w:t xml:space="preserve"> (*)</w:t>
            </w:r>
            <w:r w:rsidRPr="00327310">
              <w:rPr>
                <w:rFonts w:ascii="Garamond" w:hAnsi="Garamond"/>
                <w:bCs/>
                <w:sz w:val="20"/>
                <w:szCs w:val="24"/>
                <w:lang w:val="sq-AL"/>
              </w:rPr>
              <w:t xml:space="preserve"> Mësimdhënësit, ekspertët e VNJI-së, përdorin rezultatet e të nxënit pë</w:t>
            </w:r>
            <w:r>
              <w:rPr>
                <w:rFonts w:ascii="Garamond" w:hAnsi="Garamond"/>
                <w:bCs/>
                <w:sz w:val="20"/>
                <w:szCs w:val="24"/>
                <w:lang w:val="sq-AL"/>
              </w:rPr>
              <w:t>r</w:t>
            </w:r>
            <w:r w:rsidRPr="00327310">
              <w:rPr>
                <w:rFonts w:ascii="Garamond" w:hAnsi="Garamond"/>
                <w:bCs/>
                <w:sz w:val="20"/>
                <w:szCs w:val="24"/>
                <w:lang w:val="sq-AL"/>
              </w:rPr>
              <w:t xml:space="preserve"> çdo njësi (të shprehura në njohuri, aftësi dhe kompetenca më të gjera) për çdo standard kualifikimi, për hartimin e kurrikulës, programit të trajnimit ose përgatitjes së portofolit të aftësive për të gjitha llojet e kualifikimeve profesionale.</w:t>
            </w:r>
          </w:p>
        </w:tc>
        <w:tc>
          <w:tcPr>
            <w:tcW w:w="1440" w:type="dxa"/>
            <w:tcBorders>
              <w:top w:val="double" w:sz="4" w:space="0" w:color="auto"/>
            </w:tcBorders>
          </w:tcPr>
          <w:p w14:paraId="64AD751B"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440" w:type="dxa"/>
            <w:tcBorders>
              <w:top w:val="double" w:sz="4" w:space="0" w:color="auto"/>
            </w:tcBorders>
          </w:tcPr>
          <w:p w14:paraId="6D72793A"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530" w:type="dxa"/>
            <w:tcBorders>
              <w:top w:val="double" w:sz="4" w:space="0" w:color="auto"/>
            </w:tcBorders>
          </w:tcPr>
          <w:p w14:paraId="5BA19FE7"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p w14:paraId="6280483E"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1260" w:type="dxa"/>
            <w:tcBorders>
              <w:top w:val="double" w:sz="4" w:space="0" w:color="auto"/>
            </w:tcBorders>
          </w:tcPr>
          <w:p w14:paraId="6E605EDE"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350" w:type="dxa"/>
            <w:tcBorders>
              <w:top w:val="double" w:sz="4" w:space="0" w:color="auto"/>
              <w:right w:val="double" w:sz="4" w:space="0" w:color="auto"/>
            </w:tcBorders>
          </w:tcPr>
          <w:p w14:paraId="02245D85"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4FE7839B" w14:textId="77777777" w:rsidTr="00764C61">
        <w:trPr>
          <w:trHeight w:val="476"/>
        </w:trPr>
        <w:tc>
          <w:tcPr>
            <w:tcW w:w="1800" w:type="dxa"/>
            <w:vMerge/>
            <w:tcBorders>
              <w:left w:val="double" w:sz="4" w:space="0" w:color="auto"/>
            </w:tcBorders>
          </w:tcPr>
          <w:p w14:paraId="3502A360"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5850" w:type="dxa"/>
          </w:tcPr>
          <w:p w14:paraId="41425EA9"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 xml:space="preserve">4.2.1.2 </w:t>
            </w:r>
            <w:r w:rsidRPr="00327310">
              <w:rPr>
                <w:rFonts w:ascii="Garamond" w:hAnsi="Garamond"/>
                <w:bCs/>
                <w:sz w:val="20"/>
                <w:szCs w:val="24"/>
                <w:lang w:val="sq-AL"/>
              </w:rPr>
              <w:t xml:space="preserve">Mësimdhënësit, ekspertët </w:t>
            </w:r>
            <w:r w:rsidRPr="00327310">
              <w:rPr>
                <w:rFonts w:ascii="Garamond" w:hAnsi="Garamond"/>
                <w:sz w:val="20"/>
                <w:szCs w:val="24"/>
                <w:lang w:val="sq-AL"/>
              </w:rPr>
              <w:t>e VNJI-së marrin në konsideratë gjithashtu rezultatet e të nxënit në fushën sociale dhe emocionale, si dhe për kompetencat kyçe.</w:t>
            </w:r>
          </w:p>
        </w:tc>
        <w:tc>
          <w:tcPr>
            <w:tcW w:w="1440" w:type="dxa"/>
          </w:tcPr>
          <w:p w14:paraId="2A36497F"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440" w:type="dxa"/>
          </w:tcPr>
          <w:p w14:paraId="7FAE4747"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530" w:type="dxa"/>
          </w:tcPr>
          <w:p w14:paraId="5BF16D32"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260" w:type="dxa"/>
          </w:tcPr>
          <w:p w14:paraId="57F7017C"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350" w:type="dxa"/>
            <w:tcBorders>
              <w:right w:val="double" w:sz="4" w:space="0" w:color="auto"/>
            </w:tcBorders>
          </w:tcPr>
          <w:p w14:paraId="3A00E896"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266777FD" w14:textId="77777777" w:rsidTr="00764C61">
        <w:tc>
          <w:tcPr>
            <w:tcW w:w="1800" w:type="dxa"/>
            <w:vMerge/>
            <w:tcBorders>
              <w:left w:val="double" w:sz="4" w:space="0" w:color="auto"/>
            </w:tcBorders>
          </w:tcPr>
          <w:p w14:paraId="7FB0A53A"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5850" w:type="dxa"/>
          </w:tcPr>
          <w:p w14:paraId="36BF8CB2"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 xml:space="preserve">4.2.1.3 </w:t>
            </w:r>
            <w:r w:rsidRPr="00327310">
              <w:rPr>
                <w:rFonts w:ascii="Garamond" w:hAnsi="Garamond"/>
                <w:bCs/>
                <w:sz w:val="20"/>
                <w:szCs w:val="24"/>
                <w:lang w:val="sq-AL"/>
              </w:rPr>
              <w:t>Mësimdhënësit, ekspertët</w:t>
            </w:r>
            <w:r w:rsidRPr="00327310">
              <w:rPr>
                <w:rFonts w:ascii="Garamond" w:hAnsi="Garamond"/>
                <w:sz w:val="20"/>
                <w:szCs w:val="24"/>
                <w:lang w:val="sq-AL"/>
              </w:rPr>
              <w:t xml:space="preserve"> e VNJI-së</w:t>
            </w:r>
            <w:r w:rsidRPr="00327310" w:rsidDel="009751CE">
              <w:rPr>
                <w:rFonts w:ascii="Garamond" w:hAnsi="Garamond"/>
                <w:sz w:val="20"/>
                <w:szCs w:val="24"/>
                <w:lang w:val="sq-AL"/>
              </w:rPr>
              <w:t xml:space="preserve"> </w:t>
            </w:r>
            <w:r w:rsidRPr="00327310">
              <w:rPr>
                <w:rFonts w:ascii="Garamond" w:hAnsi="Garamond"/>
                <w:sz w:val="20"/>
                <w:szCs w:val="24"/>
                <w:lang w:val="sq-AL"/>
              </w:rPr>
              <w:t>marrin në konsideratë rezultatet ndërkurrikulare të të nxënit (të cilat bashkërendojnë njohuritë, aftësitë dhe kompetencat e gjera nga lëndë, module dhe fusha kurrikulare të ndryshme) në veprimtarinë e tyre.</w:t>
            </w:r>
          </w:p>
        </w:tc>
        <w:tc>
          <w:tcPr>
            <w:tcW w:w="1440" w:type="dxa"/>
          </w:tcPr>
          <w:p w14:paraId="6D854E6B"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440" w:type="dxa"/>
          </w:tcPr>
          <w:p w14:paraId="2E1E6332"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530" w:type="dxa"/>
          </w:tcPr>
          <w:p w14:paraId="5ED0469C"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260" w:type="dxa"/>
          </w:tcPr>
          <w:p w14:paraId="7731B984"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1350" w:type="dxa"/>
            <w:tcBorders>
              <w:right w:val="double" w:sz="4" w:space="0" w:color="auto"/>
            </w:tcBorders>
          </w:tcPr>
          <w:p w14:paraId="49A6FDE8"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00D9A24A" w14:textId="77777777" w:rsidTr="00764C61">
        <w:tc>
          <w:tcPr>
            <w:tcW w:w="1800" w:type="dxa"/>
            <w:tcBorders>
              <w:left w:val="double" w:sz="4" w:space="0" w:color="auto"/>
            </w:tcBorders>
          </w:tcPr>
          <w:p w14:paraId="6A72DC0E"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4.2.2 Shërbimet e këshillimit dhe mbështetjes për nxënësit/kursantët/individët me qëllim përmirësimin e rezultateve të të nxënit dhe mirëqenies.</w:t>
            </w:r>
          </w:p>
          <w:p w14:paraId="5370F94D"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5850" w:type="dxa"/>
          </w:tcPr>
          <w:p w14:paraId="3018CE40"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4.2.2.1</w:t>
            </w:r>
            <w:r>
              <w:rPr>
                <w:rFonts w:ascii="Garamond" w:hAnsi="Garamond"/>
                <w:sz w:val="20"/>
                <w:szCs w:val="24"/>
                <w:lang w:val="sq-AL"/>
              </w:rPr>
              <w:t xml:space="preserve"> (*)</w:t>
            </w:r>
            <w:r w:rsidRPr="00327310">
              <w:rPr>
                <w:rFonts w:ascii="Garamond" w:hAnsi="Garamond"/>
                <w:bCs/>
                <w:sz w:val="20"/>
                <w:szCs w:val="24"/>
                <w:lang w:val="sq-AL"/>
              </w:rPr>
              <w:t xml:space="preserve"> </w:t>
            </w:r>
            <w:r w:rsidRPr="00327310">
              <w:rPr>
                <w:rFonts w:ascii="Garamond" w:hAnsi="Garamond"/>
                <w:sz w:val="20"/>
                <w:szCs w:val="24"/>
                <w:lang w:val="sq-AL"/>
              </w:rPr>
              <w:t>Drejtoria e ofruesit të AFP-së, nëpërmjet njësisë së zhvillimit (ose strukturës përgjegjëse për sigurimin e cilësisë), ofron shërbime këshillimi dhe orientimi për të gjithë nxënësit/kursantët/individët, në përputhje me legjislacionin në fuqi.</w:t>
            </w:r>
          </w:p>
        </w:tc>
        <w:tc>
          <w:tcPr>
            <w:tcW w:w="1440" w:type="dxa"/>
          </w:tcPr>
          <w:p w14:paraId="42AD2778"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p w14:paraId="07D0059B"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1440" w:type="dxa"/>
          </w:tcPr>
          <w:p w14:paraId="5273CB12"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p w14:paraId="3F42617B"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1530" w:type="dxa"/>
          </w:tcPr>
          <w:p w14:paraId="70A293C2"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p w14:paraId="280B5EC8"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1260" w:type="dxa"/>
          </w:tcPr>
          <w:p w14:paraId="573FE84F"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p w14:paraId="49C00DBE"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1350" w:type="dxa"/>
            <w:tcBorders>
              <w:right w:val="double" w:sz="4" w:space="0" w:color="auto"/>
            </w:tcBorders>
          </w:tcPr>
          <w:p w14:paraId="67DC1334" w14:textId="77777777" w:rsidR="008412F5" w:rsidRPr="00327310" w:rsidRDefault="008412F5" w:rsidP="00764C61">
            <w:pPr>
              <w:pStyle w:val="ListParagraph"/>
              <w:spacing w:after="0" w:line="240" w:lineRule="auto"/>
              <w:ind w:left="0"/>
              <w:rPr>
                <w:rFonts w:ascii="Garamond" w:hAnsi="Garamond"/>
                <w:sz w:val="20"/>
                <w:szCs w:val="24"/>
                <w:lang w:val="sq-AL"/>
              </w:rPr>
            </w:pPr>
          </w:p>
        </w:tc>
      </w:tr>
    </w:tbl>
    <w:p w14:paraId="38338FAE" w14:textId="77777777" w:rsidR="008412F5" w:rsidRPr="00327310" w:rsidRDefault="008412F5" w:rsidP="008412F5">
      <w:pPr>
        <w:pStyle w:val="ListParagraph"/>
        <w:ind w:firstLine="284"/>
        <w:jc w:val="both"/>
        <w:rPr>
          <w:rFonts w:ascii="Garamond" w:hAnsi="Garamond"/>
          <w:b/>
          <w:bCs/>
          <w:sz w:val="24"/>
          <w:szCs w:val="24"/>
          <w:lang w:val="sq-AL"/>
        </w:rPr>
      </w:pPr>
    </w:p>
    <w:p w14:paraId="2D1BD2CA" w14:textId="77777777" w:rsidR="008412F5" w:rsidRDefault="008412F5" w:rsidP="008412F5">
      <w:pPr>
        <w:pStyle w:val="ListParagraph"/>
        <w:ind w:firstLine="284"/>
        <w:jc w:val="both"/>
        <w:rPr>
          <w:rFonts w:ascii="Garamond" w:hAnsi="Garamond"/>
          <w:b/>
          <w:sz w:val="24"/>
          <w:szCs w:val="24"/>
          <w:lang w:val="sq-AL"/>
        </w:rPr>
      </w:pPr>
      <w:bookmarkStart w:id="20" w:name="_Toc44689568"/>
    </w:p>
    <w:p w14:paraId="1F7266C0" w14:textId="77777777" w:rsidR="008412F5" w:rsidRDefault="008412F5" w:rsidP="008412F5">
      <w:pPr>
        <w:pStyle w:val="ListParagraph"/>
        <w:ind w:firstLine="284"/>
        <w:jc w:val="both"/>
        <w:rPr>
          <w:rFonts w:ascii="Garamond" w:hAnsi="Garamond"/>
          <w:b/>
          <w:sz w:val="24"/>
          <w:szCs w:val="24"/>
          <w:lang w:val="sq-AL"/>
        </w:rPr>
      </w:pPr>
    </w:p>
    <w:p w14:paraId="02DCA5A7" w14:textId="77777777" w:rsidR="008412F5" w:rsidRDefault="008412F5" w:rsidP="008412F5">
      <w:pPr>
        <w:pStyle w:val="ListParagraph"/>
        <w:ind w:firstLine="284"/>
        <w:jc w:val="both"/>
        <w:rPr>
          <w:rFonts w:ascii="Garamond" w:hAnsi="Garamond"/>
          <w:b/>
          <w:sz w:val="24"/>
          <w:szCs w:val="24"/>
          <w:lang w:val="sq-AL"/>
        </w:rPr>
      </w:pPr>
    </w:p>
    <w:p w14:paraId="65CB993C" w14:textId="77777777" w:rsidR="008412F5" w:rsidRDefault="008412F5" w:rsidP="008412F5">
      <w:pPr>
        <w:pStyle w:val="ListParagraph"/>
        <w:ind w:firstLine="284"/>
        <w:jc w:val="both"/>
        <w:rPr>
          <w:rFonts w:ascii="Garamond" w:hAnsi="Garamond"/>
          <w:b/>
          <w:sz w:val="24"/>
          <w:szCs w:val="24"/>
          <w:lang w:val="sq-AL"/>
        </w:rPr>
      </w:pPr>
    </w:p>
    <w:p w14:paraId="4EC27B06" w14:textId="77777777" w:rsidR="008412F5" w:rsidRDefault="008412F5" w:rsidP="008412F5">
      <w:pPr>
        <w:pStyle w:val="ListParagraph"/>
        <w:ind w:firstLine="284"/>
        <w:jc w:val="both"/>
        <w:rPr>
          <w:rFonts w:ascii="Garamond" w:hAnsi="Garamond"/>
          <w:b/>
          <w:sz w:val="24"/>
          <w:szCs w:val="24"/>
          <w:lang w:val="sq-AL"/>
        </w:rPr>
      </w:pPr>
    </w:p>
    <w:p w14:paraId="15F67910" w14:textId="77777777" w:rsidR="008412F5" w:rsidRDefault="008412F5" w:rsidP="008412F5">
      <w:pPr>
        <w:pStyle w:val="ListParagraph"/>
        <w:ind w:firstLine="284"/>
        <w:jc w:val="both"/>
        <w:rPr>
          <w:rFonts w:ascii="Garamond" w:hAnsi="Garamond"/>
          <w:b/>
          <w:sz w:val="24"/>
          <w:szCs w:val="24"/>
          <w:lang w:val="sq-AL"/>
        </w:rPr>
      </w:pPr>
    </w:p>
    <w:p w14:paraId="2B8F1329" w14:textId="77777777" w:rsidR="008412F5" w:rsidRPr="00327310" w:rsidRDefault="008412F5" w:rsidP="008412F5">
      <w:pPr>
        <w:pStyle w:val="ListParagraph"/>
        <w:ind w:firstLine="284"/>
        <w:jc w:val="both"/>
        <w:rPr>
          <w:rFonts w:ascii="Garamond" w:hAnsi="Garamond"/>
          <w:sz w:val="24"/>
          <w:szCs w:val="24"/>
          <w:lang w:val="sq-AL"/>
        </w:rPr>
      </w:pPr>
      <w:r w:rsidRPr="00327310">
        <w:rPr>
          <w:rFonts w:ascii="Garamond" w:hAnsi="Garamond"/>
          <w:b/>
          <w:sz w:val="24"/>
          <w:szCs w:val="24"/>
          <w:lang w:val="sq-AL"/>
        </w:rPr>
        <w:t xml:space="preserve">Nënfusha 4.3 </w:t>
      </w:r>
      <w:bookmarkEnd w:id="20"/>
      <w:r w:rsidRPr="00327310">
        <w:rPr>
          <w:rFonts w:ascii="Garamond" w:hAnsi="Garamond"/>
          <w:b/>
          <w:sz w:val="24"/>
          <w:szCs w:val="24"/>
          <w:lang w:val="sq-AL"/>
        </w:rPr>
        <w:t>Zbatimi i procesit mësimor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5555"/>
        <w:gridCol w:w="1369"/>
        <w:gridCol w:w="1368"/>
        <w:gridCol w:w="1451"/>
        <w:gridCol w:w="1195"/>
        <w:gridCol w:w="1281"/>
      </w:tblGrid>
      <w:tr w:rsidR="008412F5" w:rsidRPr="00327310" w14:paraId="7F152987" w14:textId="77777777" w:rsidTr="00764C61">
        <w:tc>
          <w:tcPr>
            <w:tcW w:w="613" w:type="pct"/>
            <w:tcBorders>
              <w:top w:val="double" w:sz="4" w:space="0" w:color="auto"/>
              <w:left w:val="double" w:sz="4" w:space="0" w:color="auto"/>
            </w:tcBorders>
            <w:shd w:val="clear" w:color="auto" w:fill="D9D9D9" w:themeFill="background1" w:themeFillShade="D9"/>
            <w:vAlign w:val="center"/>
          </w:tcPr>
          <w:p w14:paraId="2ADED626"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r w:rsidRPr="00327310">
              <w:rPr>
                <w:rFonts w:ascii="Garamond" w:hAnsi="Garamond"/>
                <w:b/>
                <w:bCs/>
                <w:sz w:val="20"/>
                <w:szCs w:val="20"/>
                <w:lang w:val="sq-AL"/>
              </w:rPr>
              <w:t>TREGUESIT</w:t>
            </w:r>
          </w:p>
        </w:tc>
        <w:tc>
          <w:tcPr>
            <w:tcW w:w="1994" w:type="pct"/>
            <w:tcBorders>
              <w:top w:val="double" w:sz="4" w:space="0" w:color="auto"/>
            </w:tcBorders>
            <w:shd w:val="clear" w:color="auto" w:fill="D9D9D9" w:themeFill="background1" w:themeFillShade="D9"/>
            <w:vAlign w:val="center"/>
          </w:tcPr>
          <w:p w14:paraId="41CA49DE"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r w:rsidRPr="00327310">
              <w:rPr>
                <w:rFonts w:ascii="Garamond" w:hAnsi="Garamond"/>
                <w:b/>
                <w:bCs/>
                <w:sz w:val="20"/>
                <w:szCs w:val="20"/>
                <w:lang w:val="sq-AL"/>
              </w:rPr>
              <w:t>Kriteret</w:t>
            </w:r>
          </w:p>
        </w:tc>
        <w:tc>
          <w:tcPr>
            <w:tcW w:w="491" w:type="pct"/>
            <w:tcBorders>
              <w:top w:val="double" w:sz="4" w:space="0" w:color="auto"/>
            </w:tcBorders>
            <w:shd w:val="clear" w:color="auto" w:fill="D9D9D9" w:themeFill="background1" w:themeFillShade="D9"/>
          </w:tcPr>
          <w:p w14:paraId="0880B03B"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p>
          <w:p w14:paraId="4BF56E19"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p>
          <w:p w14:paraId="218D846F"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r w:rsidRPr="00327310">
              <w:rPr>
                <w:rFonts w:ascii="Garamond" w:hAnsi="Garamond"/>
                <w:b/>
                <w:bCs/>
                <w:sz w:val="20"/>
                <w:szCs w:val="20"/>
                <w:lang w:val="sq-AL"/>
              </w:rPr>
              <w:t xml:space="preserve">Ofruesit e </w:t>
            </w:r>
          </w:p>
          <w:p w14:paraId="4D1E5783"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r w:rsidRPr="00327310">
              <w:rPr>
                <w:rFonts w:ascii="Garamond" w:hAnsi="Garamond"/>
                <w:b/>
                <w:bCs/>
                <w:sz w:val="20"/>
                <w:szCs w:val="20"/>
                <w:lang w:val="sq-AL"/>
              </w:rPr>
              <w:t>rinj të AFP-së</w:t>
            </w:r>
          </w:p>
        </w:tc>
        <w:tc>
          <w:tcPr>
            <w:tcW w:w="491" w:type="pct"/>
            <w:tcBorders>
              <w:top w:val="double" w:sz="4" w:space="0" w:color="auto"/>
            </w:tcBorders>
            <w:shd w:val="clear" w:color="auto" w:fill="D9D9D9" w:themeFill="background1" w:themeFillShade="D9"/>
            <w:vAlign w:val="center"/>
          </w:tcPr>
          <w:p w14:paraId="2010177B"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521" w:type="pct"/>
            <w:tcBorders>
              <w:top w:val="double" w:sz="4" w:space="0" w:color="auto"/>
            </w:tcBorders>
            <w:shd w:val="clear" w:color="auto" w:fill="D9D9D9" w:themeFill="background1" w:themeFillShade="D9"/>
            <w:vAlign w:val="center"/>
          </w:tcPr>
          <w:p w14:paraId="246189D3"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29" w:type="pct"/>
            <w:tcBorders>
              <w:top w:val="double" w:sz="4" w:space="0" w:color="auto"/>
            </w:tcBorders>
            <w:shd w:val="clear" w:color="auto" w:fill="D9D9D9" w:themeFill="background1" w:themeFillShade="D9"/>
            <w:vAlign w:val="center"/>
          </w:tcPr>
          <w:p w14:paraId="4CF129B6"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60" w:type="pct"/>
            <w:tcBorders>
              <w:top w:val="double" w:sz="4" w:space="0" w:color="auto"/>
              <w:right w:val="double" w:sz="4" w:space="0" w:color="auto"/>
            </w:tcBorders>
            <w:shd w:val="clear" w:color="auto" w:fill="D9D9D9" w:themeFill="background1" w:themeFillShade="D9"/>
            <w:vAlign w:val="center"/>
          </w:tcPr>
          <w:p w14:paraId="5AD9FE96"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r w:rsidRPr="00327310">
              <w:rPr>
                <w:rFonts w:ascii="Garamond" w:hAnsi="Garamond"/>
                <w:b/>
                <w:bCs/>
                <w:sz w:val="20"/>
                <w:szCs w:val="20"/>
                <w:lang w:val="sq-AL"/>
              </w:rPr>
              <w:t>A është përmbushur kriteri</w:t>
            </w:r>
          </w:p>
          <w:p w14:paraId="7808A7AA" w14:textId="77777777" w:rsidR="008412F5" w:rsidRPr="00327310" w:rsidRDefault="008412F5" w:rsidP="00764C61">
            <w:pPr>
              <w:pStyle w:val="ListParagraph"/>
              <w:spacing w:after="0" w:line="240" w:lineRule="auto"/>
              <w:ind w:left="0"/>
              <w:jc w:val="both"/>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34E4D6B8" w14:textId="77777777" w:rsidTr="00764C61">
        <w:tc>
          <w:tcPr>
            <w:tcW w:w="613" w:type="pct"/>
            <w:vMerge w:val="restart"/>
            <w:tcBorders>
              <w:top w:val="double" w:sz="4" w:space="0" w:color="auto"/>
              <w:left w:val="double" w:sz="4" w:space="0" w:color="auto"/>
            </w:tcBorders>
          </w:tcPr>
          <w:p w14:paraId="69E71B2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4.3.1 Procesi i mësimdhënies dhe i të nxënit (strategjitë, metodat, teknikat) për arritjen e rezultateve të të nxënit</w:t>
            </w:r>
          </w:p>
          <w:p w14:paraId="62096B6D"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4" w:type="pct"/>
            <w:tcBorders>
              <w:top w:val="double" w:sz="4" w:space="0" w:color="auto"/>
            </w:tcBorders>
          </w:tcPr>
          <w:p w14:paraId="1E6B20A6"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4.</w:t>
            </w:r>
            <w:r w:rsidRPr="00327310">
              <w:rPr>
                <w:rFonts w:ascii="Garamond" w:hAnsi="Garamond"/>
                <w:bCs/>
                <w:sz w:val="20"/>
                <w:szCs w:val="20"/>
                <w:lang w:val="sq-AL"/>
              </w:rPr>
              <w:t>3.1.1 Në planifikimin dhe organizimin e aktivitetit mësimor, mësimdhënësit respektojnë marrëdhënien midis aktiviteteve në orën e mësimit dhe aktiviteteve të tjera (aktiviteteve ndërkurrikulare), sipas legjislacionit në fuqi.</w:t>
            </w:r>
          </w:p>
        </w:tc>
        <w:tc>
          <w:tcPr>
            <w:tcW w:w="491" w:type="pct"/>
            <w:tcBorders>
              <w:top w:val="double" w:sz="4" w:space="0" w:color="auto"/>
            </w:tcBorders>
          </w:tcPr>
          <w:p w14:paraId="0ED030F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1" w:type="pct"/>
            <w:tcBorders>
              <w:top w:val="double" w:sz="4" w:space="0" w:color="auto"/>
            </w:tcBorders>
          </w:tcPr>
          <w:p w14:paraId="63F2163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21" w:type="pct"/>
            <w:tcBorders>
              <w:top w:val="double" w:sz="4" w:space="0" w:color="auto"/>
            </w:tcBorders>
          </w:tcPr>
          <w:p w14:paraId="594C250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9" w:type="pct"/>
            <w:tcBorders>
              <w:top w:val="double" w:sz="4" w:space="0" w:color="auto"/>
            </w:tcBorders>
          </w:tcPr>
          <w:p w14:paraId="593696CD"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top w:val="double" w:sz="4" w:space="0" w:color="auto"/>
              <w:right w:val="double" w:sz="4" w:space="0" w:color="auto"/>
            </w:tcBorders>
          </w:tcPr>
          <w:p w14:paraId="1E4414F6"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DBB1108" w14:textId="77777777" w:rsidTr="00764C61">
        <w:trPr>
          <w:trHeight w:val="413"/>
        </w:trPr>
        <w:tc>
          <w:tcPr>
            <w:tcW w:w="613" w:type="pct"/>
            <w:vMerge/>
            <w:tcBorders>
              <w:left w:val="double" w:sz="4" w:space="0" w:color="auto"/>
            </w:tcBorders>
          </w:tcPr>
          <w:p w14:paraId="4A0E10E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4" w:type="pct"/>
          </w:tcPr>
          <w:p w14:paraId="18AB79BD" w14:textId="77777777" w:rsidR="008412F5" w:rsidRPr="00327310" w:rsidRDefault="008412F5" w:rsidP="00764C61">
            <w:pPr>
              <w:pStyle w:val="ListParagraph"/>
              <w:spacing w:after="0" w:line="240" w:lineRule="auto"/>
              <w:ind w:left="0"/>
              <w:rPr>
                <w:rFonts w:ascii="Garamond" w:hAnsi="Garamond"/>
                <w:bCs/>
                <w:sz w:val="20"/>
                <w:szCs w:val="20"/>
                <w:lang w:val="sq-AL"/>
              </w:rPr>
            </w:pPr>
            <w:r w:rsidRPr="00327310">
              <w:rPr>
                <w:rFonts w:ascii="Garamond" w:hAnsi="Garamond"/>
                <w:sz w:val="20"/>
                <w:szCs w:val="20"/>
                <w:lang w:val="sq-AL"/>
              </w:rPr>
              <w:t>4.</w:t>
            </w:r>
            <w:r w:rsidRPr="00327310">
              <w:rPr>
                <w:rFonts w:ascii="Garamond" w:hAnsi="Garamond"/>
                <w:bCs/>
                <w:sz w:val="20"/>
                <w:szCs w:val="20"/>
                <w:lang w:val="sq-AL"/>
              </w:rPr>
              <w:t>3.1.2 Mësimdhënësit përdorin metoda dhe instrumente të përshtatshme të mësimdhënies, duke përfshirë integrimin e teknologjive mësimore dhe zbatimin e formave të mësimit të kombinuar, për të arritur të gjitha rezultatet e të nxënit (njohuritë, aftësitë, kompetencat më të gjera).</w:t>
            </w:r>
          </w:p>
        </w:tc>
        <w:tc>
          <w:tcPr>
            <w:tcW w:w="491" w:type="pct"/>
          </w:tcPr>
          <w:p w14:paraId="0569F8E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1" w:type="pct"/>
          </w:tcPr>
          <w:p w14:paraId="4D7E034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21" w:type="pct"/>
          </w:tcPr>
          <w:p w14:paraId="765029A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9" w:type="pct"/>
          </w:tcPr>
          <w:p w14:paraId="7C5A1533"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right w:val="double" w:sz="4" w:space="0" w:color="auto"/>
            </w:tcBorders>
          </w:tcPr>
          <w:p w14:paraId="26EC2E5B"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95221FC" w14:textId="77777777" w:rsidTr="00764C61">
        <w:trPr>
          <w:trHeight w:val="584"/>
        </w:trPr>
        <w:tc>
          <w:tcPr>
            <w:tcW w:w="613" w:type="pct"/>
            <w:vMerge/>
            <w:tcBorders>
              <w:left w:val="double" w:sz="4" w:space="0" w:color="auto"/>
            </w:tcBorders>
          </w:tcPr>
          <w:p w14:paraId="1C892DA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4" w:type="pct"/>
          </w:tcPr>
          <w:p w14:paraId="55AA5AE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 xml:space="preserve">4.3.1.3 </w:t>
            </w:r>
            <w:r w:rsidRPr="00327310">
              <w:rPr>
                <w:rFonts w:ascii="Garamond" w:hAnsi="Garamond"/>
                <w:bCs/>
                <w:sz w:val="20"/>
                <w:szCs w:val="20"/>
                <w:lang w:val="sq-AL"/>
              </w:rPr>
              <w:t xml:space="preserve">Mësimdhënësit </w:t>
            </w:r>
            <w:r w:rsidRPr="00327310">
              <w:rPr>
                <w:rFonts w:ascii="Garamond" w:hAnsi="Garamond"/>
                <w:sz w:val="20"/>
                <w:szCs w:val="20"/>
                <w:lang w:val="sq-AL"/>
              </w:rPr>
              <w:t>përdorin instrumente, metoda, teknika dhe platforma mësimore për të nxitur aktivizimin e nxënësve/</w:t>
            </w:r>
            <w:r>
              <w:rPr>
                <w:rFonts w:ascii="Garamond" w:hAnsi="Garamond"/>
                <w:sz w:val="20"/>
                <w:szCs w:val="20"/>
                <w:lang w:val="sq-AL"/>
              </w:rPr>
              <w:t xml:space="preserve"> </w:t>
            </w:r>
            <w:r w:rsidRPr="00327310">
              <w:rPr>
                <w:rFonts w:ascii="Garamond" w:hAnsi="Garamond"/>
                <w:sz w:val="20"/>
                <w:szCs w:val="20"/>
                <w:lang w:val="sq-AL"/>
              </w:rPr>
              <w:t>kursantëve/</w:t>
            </w:r>
            <w:r>
              <w:rPr>
                <w:rFonts w:ascii="Garamond" w:hAnsi="Garamond"/>
                <w:sz w:val="20"/>
                <w:szCs w:val="20"/>
                <w:lang w:val="sq-AL"/>
              </w:rPr>
              <w:t xml:space="preserve"> </w:t>
            </w:r>
            <w:r w:rsidRPr="00327310">
              <w:rPr>
                <w:rFonts w:ascii="Garamond" w:hAnsi="Garamond"/>
                <w:sz w:val="20"/>
                <w:szCs w:val="20"/>
                <w:lang w:val="sq-AL"/>
              </w:rPr>
              <w:t xml:space="preserve">individëve, si p.sh. puna në grup nëpërmjet ndërveprimit, të mësuarit përmes projekteve etj., që lehtësojnë punën e pavarur të tyre. </w:t>
            </w:r>
          </w:p>
        </w:tc>
        <w:tc>
          <w:tcPr>
            <w:tcW w:w="491" w:type="pct"/>
          </w:tcPr>
          <w:p w14:paraId="036D4E7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1" w:type="pct"/>
          </w:tcPr>
          <w:p w14:paraId="136723B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21" w:type="pct"/>
          </w:tcPr>
          <w:p w14:paraId="76D0DA3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29" w:type="pct"/>
          </w:tcPr>
          <w:p w14:paraId="45509AE4" w14:textId="77777777" w:rsidR="008412F5" w:rsidRPr="00327310" w:rsidRDefault="008412F5" w:rsidP="00764C61">
            <w:pPr>
              <w:pStyle w:val="ListParagraph"/>
              <w:spacing w:after="0" w:line="240" w:lineRule="auto"/>
              <w:ind w:left="0"/>
              <w:rPr>
                <w:rFonts w:ascii="Garamond" w:hAnsi="Garamond"/>
                <w:sz w:val="20"/>
                <w:szCs w:val="20"/>
                <w:lang w:val="sq-AL"/>
              </w:rPr>
            </w:pPr>
          </w:p>
          <w:p w14:paraId="4053031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right w:val="double" w:sz="4" w:space="0" w:color="auto"/>
            </w:tcBorders>
          </w:tcPr>
          <w:p w14:paraId="4BAAFA53"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63DDB64" w14:textId="77777777" w:rsidTr="00764C61">
        <w:trPr>
          <w:trHeight w:val="431"/>
        </w:trPr>
        <w:tc>
          <w:tcPr>
            <w:tcW w:w="613" w:type="pct"/>
            <w:vMerge/>
            <w:tcBorders>
              <w:left w:val="double" w:sz="4" w:space="0" w:color="auto"/>
            </w:tcBorders>
          </w:tcPr>
          <w:p w14:paraId="5EEEA69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94" w:type="pct"/>
          </w:tcPr>
          <w:p w14:paraId="047A24B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4.3.1.4 Mësimdhënësit përdorin instrumente dhe metoda mësimore për të përmbushur objektivat mësimorë në fushën e të nxënit social dhe emocional.</w:t>
            </w:r>
          </w:p>
        </w:tc>
        <w:tc>
          <w:tcPr>
            <w:tcW w:w="491" w:type="pct"/>
          </w:tcPr>
          <w:p w14:paraId="5CDF078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91" w:type="pct"/>
          </w:tcPr>
          <w:p w14:paraId="73307C5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261FF013"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521" w:type="pct"/>
          </w:tcPr>
          <w:p w14:paraId="3249DF2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57026AE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29" w:type="pct"/>
          </w:tcPr>
          <w:p w14:paraId="12CBFF4E" w14:textId="77777777" w:rsidR="008412F5" w:rsidRPr="00327310" w:rsidRDefault="008412F5" w:rsidP="00764C61">
            <w:pPr>
              <w:pStyle w:val="ListParagraph"/>
              <w:spacing w:after="0" w:line="240" w:lineRule="auto"/>
              <w:ind w:left="0"/>
              <w:rPr>
                <w:rFonts w:ascii="Garamond" w:hAnsi="Garamond"/>
                <w:sz w:val="20"/>
                <w:szCs w:val="20"/>
                <w:lang w:val="sq-AL"/>
              </w:rPr>
            </w:pPr>
          </w:p>
          <w:p w14:paraId="370E0F9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right w:val="double" w:sz="4" w:space="0" w:color="auto"/>
            </w:tcBorders>
          </w:tcPr>
          <w:p w14:paraId="31787C1B"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093BFDD9" w14:textId="77777777" w:rsidTr="00764C61">
        <w:trPr>
          <w:trHeight w:val="710"/>
        </w:trPr>
        <w:tc>
          <w:tcPr>
            <w:tcW w:w="613" w:type="pct"/>
            <w:vMerge w:val="restart"/>
            <w:tcBorders>
              <w:left w:val="double" w:sz="4" w:space="0" w:color="auto"/>
            </w:tcBorders>
          </w:tcPr>
          <w:p w14:paraId="3E16856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4.3.2 Përdorimi i materialeve dhe burimeve të mësimdhënies dhe të nxënit</w:t>
            </w:r>
          </w:p>
        </w:tc>
        <w:tc>
          <w:tcPr>
            <w:tcW w:w="1994" w:type="pct"/>
          </w:tcPr>
          <w:p w14:paraId="0107FCC3"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4.</w:t>
            </w:r>
            <w:r w:rsidRPr="00327310">
              <w:rPr>
                <w:rFonts w:ascii="Garamond" w:hAnsi="Garamond"/>
                <w:bCs/>
                <w:sz w:val="20"/>
                <w:szCs w:val="20"/>
                <w:lang w:val="sq-AL"/>
              </w:rPr>
              <w:t>3.2.1</w:t>
            </w:r>
            <w:r>
              <w:rPr>
                <w:rFonts w:ascii="Garamond" w:hAnsi="Garamond"/>
                <w:bCs/>
                <w:sz w:val="20"/>
                <w:szCs w:val="20"/>
                <w:lang w:val="sq-AL"/>
              </w:rPr>
              <w:t xml:space="preserve"> (*)</w:t>
            </w:r>
            <w:r w:rsidRPr="00327310">
              <w:rPr>
                <w:rFonts w:ascii="Garamond" w:hAnsi="Garamond"/>
                <w:bCs/>
                <w:sz w:val="20"/>
                <w:szCs w:val="20"/>
                <w:lang w:val="sq-AL"/>
              </w:rPr>
              <w:t xml:space="preserve"> Mësimdhënësit dhe nxënësit përdorin tekste shkollore, materiale digjitale të mësimdhënies dhe të nxënit, pajisje të teknologjisë së informacionit dhe komunikimit, aplikacione, pajisje apo materiale të tjera ndihmëse, sipas planifikimit të orës mësimore.</w:t>
            </w:r>
          </w:p>
        </w:tc>
        <w:tc>
          <w:tcPr>
            <w:tcW w:w="491" w:type="pct"/>
          </w:tcPr>
          <w:p w14:paraId="2A78777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6A8CEE8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1" w:type="pct"/>
          </w:tcPr>
          <w:p w14:paraId="3BA7502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1CBBA71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521" w:type="pct"/>
          </w:tcPr>
          <w:p w14:paraId="6604ED0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6606D633"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29" w:type="pct"/>
          </w:tcPr>
          <w:p w14:paraId="2F54517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right w:val="double" w:sz="4" w:space="0" w:color="auto"/>
            </w:tcBorders>
          </w:tcPr>
          <w:p w14:paraId="50C74F5A"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5103042" w14:textId="77777777" w:rsidTr="00764C61">
        <w:trPr>
          <w:trHeight w:val="530"/>
        </w:trPr>
        <w:tc>
          <w:tcPr>
            <w:tcW w:w="613" w:type="pct"/>
            <w:vMerge/>
            <w:tcBorders>
              <w:left w:val="double" w:sz="4" w:space="0" w:color="auto"/>
            </w:tcBorders>
          </w:tcPr>
          <w:p w14:paraId="5D86329D"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1994" w:type="pct"/>
          </w:tcPr>
          <w:p w14:paraId="0050A780"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4.3.2.2 Mësimdhënësit hartojnë, përshta</w:t>
            </w:r>
            <w:r>
              <w:rPr>
                <w:rFonts w:ascii="Garamond" w:hAnsi="Garamond"/>
                <w:sz w:val="20"/>
                <w:szCs w:val="20"/>
                <w:lang w:val="sq-AL"/>
              </w:rPr>
              <w:t>t</w:t>
            </w:r>
            <w:r w:rsidRPr="00327310">
              <w:rPr>
                <w:rFonts w:ascii="Garamond" w:hAnsi="Garamond"/>
                <w:sz w:val="20"/>
                <w:szCs w:val="20"/>
                <w:lang w:val="sq-AL"/>
              </w:rPr>
              <w:t>in ose ndajnë materiale mësimore sipas kërkesave kurrikulare, duke përfshirë ato digjitale.</w:t>
            </w:r>
          </w:p>
        </w:tc>
        <w:tc>
          <w:tcPr>
            <w:tcW w:w="491" w:type="pct"/>
          </w:tcPr>
          <w:p w14:paraId="313693A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91" w:type="pct"/>
          </w:tcPr>
          <w:p w14:paraId="15CAF8F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26BEADD2"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521" w:type="pct"/>
          </w:tcPr>
          <w:p w14:paraId="7C1F15B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4F9047A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29" w:type="pct"/>
          </w:tcPr>
          <w:p w14:paraId="6D197A0D"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60" w:type="pct"/>
            <w:tcBorders>
              <w:right w:val="double" w:sz="4" w:space="0" w:color="auto"/>
            </w:tcBorders>
          </w:tcPr>
          <w:p w14:paraId="056C4142" w14:textId="77777777" w:rsidR="008412F5" w:rsidRPr="00327310" w:rsidRDefault="008412F5" w:rsidP="00764C61">
            <w:pPr>
              <w:pStyle w:val="ListParagraph"/>
              <w:spacing w:after="0" w:line="240" w:lineRule="auto"/>
              <w:ind w:left="0"/>
              <w:rPr>
                <w:rFonts w:ascii="Garamond" w:hAnsi="Garamond"/>
                <w:sz w:val="20"/>
                <w:szCs w:val="20"/>
                <w:lang w:val="sq-AL"/>
              </w:rPr>
            </w:pPr>
          </w:p>
        </w:tc>
      </w:tr>
    </w:tbl>
    <w:p w14:paraId="79181F0D" w14:textId="77777777" w:rsidR="008412F5" w:rsidRPr="00327310" w:rsidRDefault="008412F5" w:rsidP="008412F5">
      <w:pPr>
        <w:pStyle w:val="ListParagraph"/>
        <w:ind w:firstLine="284"/>
        <w:jc w:val="both"/>
        <w:rPr>
          <w:rFonts w:ascii="Garamond" w:hAnsi="Garamond"/>
          <w:b/>
          <w:bCs/>
          <w:sz w:val="24"/>
          <w:szCs w:val="24"/>
          <w:lang w:val="sq-AL"/>
        </w:rPr>
      </w:pPr>
    </w:p>
    <w:p w14:paraId="2D6C3614" w14:textId="77777777" w:rsidR="008412F5" w:rsidRDefault="008412F5" w:rsidP="008412F5">
      <w:pPr>
        <w:pStyle w:val="ListParagraph"/>
        <w:ind w:firstLine="284"/>
        <w:jc w:val="both"/>
        <w:rPr>
          <w:rFonts w:ascii="Garamond" w:hAnsi="Garamond"/>
          <w:b/>
          <w:sz w:val="24"/>
          <w:szCs w:val="24"/>
          <w:lang w:val="sq-AL"/>
        </w:rPr>
      </w:pPr>
      <w:bookmarkStart w:id="21" w:name="_Toc44689569"/>
    </w:p>
    <w:p w14:paraId="2B635696" w14:textId="77777777" w:rsidR="008412F5" w:rsidRDefault="008412F5" w:rsidP="008412F5">
      <w:pPr>
        <w:pStyle w:val="ListParagraph"/>
        <w:ind w:firstLine="284"/>
        <w:jc w:val="both"/>
        <w:rPr>
          <w:rFonts w:ascii="Garamond" w:hAnsi="Garamond"/>
          <w:b/>
          <w:sz w:val="24"/>
          <w:szCs w:val="24"/>
          <w:lang w:val="sq-AL"/>
        </w:rPr>
      </w:pPr>
    </w:p>
    <w:p w14:paraId="1CFD909C" w14:textId="77777777" w:rsidR="008412F5" w:rsidRDefault="008412F5" w:rsidP="008412F5">
      <w:pPr>
        <w:pStyle w:val="ListParagraph"/>
        <w:ind w:firstLine="284"/>
        <w:jc w:val="both"/>
        <w:rPr>
          <w:rFonts w:ascii="Garamond" w:hAnsi="Garamond"/>
          <w:b/>
          <w:sz w:val="24"/>
          <w:szCs w:val="24"/>
          <w:lang w:val="sq-AL"/>
        </w:rPr>
      </w:pPr>
    </w:p>
    <w:p w14:paraId="46A17B86" w14:textId="77777777" w:rsidR="008412F5" w:rsidRDefault="008412F5" w:rsidP="008412F5">
      <w:pPr>
        <w:pStyle w:val="ListParagraph"/>
        <w:ind w:firstLine="284"/>
        <w:jc w:val="both"/>
        <w:rPr>
          <w:rFonts w:ascii="Garamond" w:hAnsi="Garamond"/>
          <w:b/>
          <w:sz w:val="24"/>
          <w:szCs w:val="24"/>
          <w:lang w:val="sq-AL"/>
        </w:rPr>
      </w:pPr>
    </w:p>
    <w:p w14:paraId="3C0CAF21" w14:textId="77777777" w:rsidR="008412F5" w:rsidRDefault="008412F5" w:rsidP="008412F5">
      <w:pPr>
        <w:pStyle w:val="ListParagraph"/>
        <w:ind w:firstLine="284"/>
        <w:jc w:val="both"/>
        <w:rPr>
          <w:rFonts w:ascii="Garamond" w:hAnsi="Garamond"/>
          <w:b/>
          <w:sz w:val="24"/>
          <w:szCs w:val="24"/>
          <w:lang w:val="sq-AL"/>
        </w:rPr>
      </w:pPr>
    </w:p>
    <w:p w14:paraId="4DA74A99" w14:textId="77777777" w:rsidR="008412F5" w:rsidRPr="00327310" w:rsidRDefault="008412F5" w:rsidP="008412F5">
      <w:pPr>
        <w:pStyle w:val="ListParagraph"/>
        <w:ind w:firstLine="284"/>
        <w:jc w:val="both"/>
        <w:rPr>
          <w:rFonts w:ascii="Garamond" w:hAnsi="Garamond"/>
          <w:sz w:val="24"/>
          <w:szCs w:val="24"/>
          <w:lang w:val="sq-AL"/>
        </w:rPr>
      </w:pPr>
      <w:r w:rsidRPr="00327310">
        <w:rPr>
          <w:rFonts w:ascii="Garamond" w:hAnsi="Garamond"/>
          <w:b/>
          <w:sz w:val="24"/>
          <w:szCs w:val="24"/>
          <w:lang w:val="sq-AL"/>
        </w:rPr>
        <w:t xml:space="preserve">Nënfusha 4.4 Rishikimi dhe përmirësimi i </w:t>
      </w:r>
      <w:bookmarkEnd w:id="21"/>
      <w:r w:rsidRPr="00327310">
        <w:rPr>
          <w:rFonts w:ascii="Garamond" w:hAnsi="Garamond"/>
          <w:b/>
          <w:sz w:val="24"/>
          <w:szCs w:val="24"/>
          <w:lang w:val="sq-AL"/>
        </w:rPr>
        <w:t>procesit mësimor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5555"/>
        <w:gridCol w:w="1369"/>
        <w:gridCol w:w="1368"/>
        <w:gridCol w:w="1451"/>
        <w:gridCol w:w="1195"/>
        <w:gridCol w:w="1281"/>
      </w:tblGrid>
      <w:tr w:rsidR="008412F5" w:rsidRPr="00327310" w14:paraId="07A5D6C7" w14:textId="77777777" w:rsidTr="00764C61">
        <w:trPr>
          <w:trHeight w:val="1635"/>
        </w:trPr>
        <w:tc>
          <w:tcPr>
            <w:tcW w:w="613" w:type="pct"/>
            <w:tcBorders>
              <w:top w:val="double" w:sz="4" w:space="0" w:color="auto"/>
              <w:left w:val="double" w:sz="4" w:space="0" w:color="auto"/>
              <w:bottom w:val="double" w:sz="4" w:space="0" w:color="auto"/>
            </w:tcBorders>
            <w:shd w:val="clear" w:color="auto" w:fill="D9D9D9" w:themeFill="background1" w:themeFillShade="D9"/>
            <w:vAlign w:val="center"/>
          </w:tcPr>
          <w:p w14:paraId="25E59F9B"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r w:rsidRPr="00327310">
              <w:rPr>
                <w:rFonts w:ascii="Garamond" w:hAnsi="Garamond"/>
                <w:b/>
                <w:bCs/>
                <w:sz w:val="20"/>
                <w:szCs w:val="24"/>
                <w:lang w:val="sq-AL"/>
              </w:rPr>
              <w:t>TREGUESIT</w:t>
            </w:r>
          </w:p>
        </w:tc>
        <w:tc>
          <w:tcPr>
            <w:tcW w:w="1994" w:type="pct"/>
            <w:tcBorders>
              <w:top w:val="double" w:sz="4" w:space="0" w:color="auto"/>
              <w:bottom w:val="double" w:sz="4" w:space="0" w:color="auto"/>
            </w:tcBorders>
            <w:shd w:val="clear" w:color="auto" w:fill="D9D9D9" w:themeFill="background1" w:themeFillShade="D9"/>
            <w:vAlign w:val="center"/>
          </w:tcPr>
          <w:p w14:paraId="7528D6D8"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r w:rsidRPr="00327310">
              <w:rPr>
                <w:rFonts w:ascii="Garamond" w:hAnsi="Garamond"/>
                <w:b/>
                <w:bCs/>
                <w:sz w:val="20"/>
                <w:szCs w:val="24"/>
                <w:lang w:val="sq-AL"/>
              </w:rPr>
              <w:t>Kriteret</w:t>
            </w:r>
          </w:p>
        </w:tc>
        <w:tc>
          <w:tcPr>
            <w:tcW w:w="491" w:type="pct"/>
            <w:tcBorders>
              <w:top w:val="double" w:sz="4" w:space="0" w:color="auto"/>
            </w:tcBorders>
            <w:shd w:val="clear" w:color="auto" w:fill="D9D9D9" w:themeFill="background1" w:themeFillShade="D9"/>
          </w:tcPr>
          <w:p w14:paraId="3AC71EFF"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p>
          <w:p w14:paraId="03FCE04D"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p>
          <w:p w14:paraId="17359E47"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r w:rsidRPr="00327310">
              <w:rPr>
                <w:rFonts w:ascii="Garamond" w:hAnsi="Garamond"/>
                <w:b/>
                <w:bCs/>
                <w:sz w:val="20"/>
                <w:szCs w:val="24"/>
                <w:lang w:val="sq-AL"/>
              </w:rPr>
              <w:t xml:space="preserve">Ofruesit e </w:t>
            </w:r>
          </w:p>
          <w:p w14:paraId="7F05B506"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r w:rsidRPr="00327310">
              <w:rPr>
                <w:rFonts w:ascii="Garamond" w:hAnsi="Garamond"/>
                <w:b/>
                <w:bCs/>
                <w:sz w:val="20"/>
                <w:szCs w:val="24"/>
                <w:lang w:val="sq-AL"/>
              </w:rPr>
              <w:t>rinj të AFP-së</w:t>
            </w:r>
          </w:p>
        </w:tc>
        <w:tc>
          <w:tcPr>
            <w:tcW w:w="491" w:type="pct"/>
            <w:tcBorders>
              <w:top w:val="double" w:sz="4" w:space="0" w:color="auto"/>
            </w:tcBorders>
            <w:shd w:val="clear" w:color="auto" w:fill="D9D9D9" w:themeFill="background1" w:themeFillShade="D9"/>
            <w:vAlign w:val="center"/>
          </w:tcPr>
          <w:p w14:paraId="18FE9FF8"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r w:rsidRPr="00327310">
              <w:rPr>
                <w:rFonts w:ascii="Garamond" w:hAnsi="Garamond"/>
                <w:b/>
                <w:bCs/>
                <w:sz w:val="20"/>
                <w:szCs w:val="24"/>
                <w:lang w:val="sq-AL"/>
              </w:rPr>
              <w:t xml:space="preserve">Ofruesit e kualifikimeve </w:t>
            </w:r>
            <w:r>
              <w:rPr>
                <w:rFonts w:ascii="Garamond" w:hAnsi="Garamond"/>
                <w:b/>
                <w:bCs/>
                <w:sz w:val="20"/>
                <w:szCs w:val="24"/>
                <w:lang w:val="sq-AL"/>
              </w:rPr>
              <w:t>2–5 të KSHK-së (arsimi profesional formal)</w:t>
            </w:r>
          </w:p>
        </w:tc>
        <w:tc>
          <w:tcPr>
            <w:tcW w:w="521" w:type="pct"/>
            <w:tcBorders>
              <w:top w:val="double" w:sz="4" w:space="0" w:color="auto"/>
            </w:tcBorders>
            <w:shd w:val="clear" w:color="auto" w:fill="D9D9D9" w:themeFill="background1" w:themeFillShade="D9"/>
            <w:vAlign w:val="center"/>
          </w:tcPr>
          <w:p w14:paraId="7B4B9913"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r w:rsidRPr="00327310">
              <w:rPr>
                <w:rFonts w:ascii="Garamond" w:hAnsi="Garamond"/>
                <w:b/>
                <w:bCs/>
                <w:sz w:val="20"/>
                <w:szCs w:val="24"/>
                <w:lang w:val="sq-AL"/>
              </w:rPr>
              <w:t>Ofruesit e kualifikimeve të të nxënit gjatë gjithë jetës (LLL)</w:t>
            </w:r>
          </w:p>
        </w:tc>
        <w:tc>
          <w:tcPr>
            <w:tcW w:w="429" w:type="pct"/>
            <w:tcBorders>
              <w:top w:val="double" w:sz="4" w:space="0" w:color="auto"/>
            </w:tcBorders>
            <w:shd w:val="clear" w:color="auto" w:fill="D9D9D9" w:themeFill="background1" w:themeFillShade="D9"/>
            <w:vAlign w:val="center"/>
          </w:tcPr>
          <w:p w14:paraId="1E3C5FA5"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r w:rsidRPr="00327310">
              <w:rPr>
                <w:rFonts w:ascii="Garamond" w:hAnsi="Garamond"/>
                <w:b/>
                <w:bCs/>
                <w:sz w:val="20"/>
                <w:szCs w:val="24"/>
                <w:lang w:val="sq-AL"/>
              </w:rPr>
              <w:t>Ofruesit e validimit të të nxënit joformal dhe informal (VNJI)</w:t>
            </w:r>
          </w:p>
        </w:tc>
        <w:tc>
          <w:tcPr>
            <w:tcW w:w="460" w:type="pct"/>
            <w:tcBorders>
              <w:top w:val="double" w:sz="4" w:space="0" w:color="auto"/>
              <w:right w:val="double" w:sz="4" w:space="0" w:color="auto"/>
            </w:tcBorders>
            <w:shd w:val="clear" w:color="auto" w:fill="D9D9D9" w:themeFill="background1" w:themeFillShade="D9"/>
            <w:vAlign w:val="center"/>
          </w:tcPr>
          <w:p w14:paraId="0D2E0C98"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r w:rsidRPr="00327310">
              <w:rPr>
                <w:rFonts w:ascii="Garamond" w:hAnsi="Garamond"/>
                <w:b/>
                <w:bCs/>
                <w:sz w:val="20"/>
                <w:szCs w:val="24"/>
                <w:lang w:val="sq-AL"/>
              </w:rPr>
              <w:t>A është përmbushur kriteri</w:t>
            </w:r>
          </w:p>
          <w:p w14:paraId="3AA5D9EB" w14:textId="77777777" w:rsidR="008412F5" w:rsidRPr="00327310" w:rsidRDefault="008412F5" w:rsidP="00764C61">
            <w:pPr>
              <w:pStyle w:val="ListParagraph"/>
              <w:spacing w:after="0" w:line="240" w:lineRule="auto"/>
              <w:ind w:left="0"/>
              <w:jc w:val="both"/>
              <w:rPr>
                <w:rFonts w:ascii="Garamond" w:hAnsi="Garamond"/>
                <w:b/>
                <w:bCs/>
                <w:sz w:val="20"/>
                <w:szCs w:val="24"/>
                <w:lang w:val="sq-AL"/>
              </w:rPr>
            </w:pPr>
            <w:r w:rsidRPr="00327310">
              <w:rPr>
                <w:rFonts w:ascii="Garamond" w:hAnsi="Garamond"/>
                <w:b/>
                <w:bCs/>
                <w:sz w:val="20"/>
                <w:szCs w:val="24"/>
                <w:lang w:val="sq-AL"/>
              </w:rPr>
              <w:t>(Po/Jo)</w:t>
            </w:r>
          </w:p>
        </w:tc>
      </w:tr>
      <w:tr w:rsidR="008412F5" w:rsidRPr="00327310" w14:paraId="2844B8E2" w14:textId="77777777" w:rsidTr="00764C61">
        <w:trPr>
          <w:trHeight w:val="690"/>
        </w:trPr>
        <w:tc>
          <w:tcPr>
            <w:tcW w:w="613" w:type="pct"/>
            <w:vMerge w:val="restart"/>
            <w:tcBorders>
              <w:top w:val="double" w:sz="4" w:space="0" w:color="auto"/>
              <w:left w:val="double" w:sz="4" w:space="0" w:color="auto"/>
            </w:tcBorders>
          </w:tcPr>
          <w:p w14:paraId="002D51EF"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4.4.1 Përmirësimi i objektivave, strategjive dhe metodave mësimore nga mësimdhënësit, bazuar në rezultatet e vlerësimit dhe sugjerimet nga grupet e interesit</w:t>
            </w:r>
          </w:p>
        </w:tc>
        <w:tc>
          <w:tcPr>
            <w:tcW w:w="1994" w:type="pct"/>
            <w:tcBorders>
              <w:top w:val="double" w:sz="4" w:space="0" w:color="auto"/>
            </w:tcBorders>
          </w:tcPr>
          <w:p w14:paraId="65ACF5CB" w14:textId="77777777" w:rsidR="008412F5" w:rsidRPr="00327310" w:rsidRDefault="008412F5" w:rsidP="00764C61">
            <w:pPr>
              <w:pStyle w:val="ListParagraph"/>
              <w:spacing w:after="0" w:line="240" w:lineRule="auto"/>
              <w:ind w:left="0"/>
              <w:jc w:val="both"/>
              <w:rPr>
                <w:rFonts w:ascii="Garamond" w:hAnsi="Garamond"/>
                <w:bCs/>
                <w:sz w:val="20"/>
                <w:szCs w:val="24"/>
                <w:lang w:val="sq-AL"/>
              </w:rPr>
            </w:pPr>
            <w:r w:rsidRPr="00327310">
              <w:rPr>
                <w:rFonts w:ascii="Garamond" w:hAnsi="Garamond"/>
                <w:sz w:val="20"/>
                <w:szCs w:val="24"/>
                <w:lang w:val="sq-AL"/>
              </w:rPr>
              <w:t xml:space="preserve">4. </w:t>
            </w:r>
            <w:r w:rsidRPr="00327310">
              <w:rPr>
                <w:rFonts w:ascii="Garamond" w:hAnsi="Garamond"/>
                <w:bCs/>
                <w:sz w:val="20"/>
                <w:szCs w:val="24"/>
                <w:lang w:val="sq-AL"/>
              </w:rPr>
              <w:t>4.1.1 Mësimdhënësit rishikojnë objektivat, materialet dhe strategjitë mësimore, bazuar në rezultatet e vlerësimit</w:t>
            </w:r>
            <w:r w:rsidRPr="00327310">
              <w:rPr>
                <w:rFonts w:ascii="Garamond" w:hAnsi="Garamond"/>
                <w:sz w:val="20"/>
                <w:szCs w:val="24"/>
                <w:lang w:val="sq-AL"/>
              </w:rPr>
              <w:t xml:space="preserve"> dhe reagimet e marra nga grupet e interesit (kryesisht nga nxënësit dhe punëdhënësit).</w:t>
            </w:r>
          </w:p>
        </w:tc>
        <w:tc>
          <w:tcPr>
            <w:tcW w:w="491" w:type="pct"/>
            <w:tcBorders>
              <w:top w:val="double" w:sz="4" w:space="0" w:color="auto"/>
            </w:tcBorders>
          </w:tcPr>
          <w:p w14:paraId="375E60E3"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91" w:type="pct"/>
            <w:tcBorders>
              <w:top w:val="double" w:sz="4" w:space="0" w:color="auto"/>
            </w:tcBorders>
          </w:tcPr>
          <w:p w14:paraId="3AB7BB28"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521" w:type="pct"/>
            <w:tcBorders>
              <w:top w:val="double" w:sz="4" w:space="0" w:color="auto"/>
            </w:tcBorders>
          </w:tcPr>
          <w:p w14:paraId="3593CD71"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29" w:type="pct"/>
            <w:tcBorders>
              <w:top w:val="double" w:sz="4" w:space="0" w:color="auto"/>
            </w:tcBorders>
          </w:tcPr>
          <w:p w14:paraId="023D2EB6"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60" w:type="pct"/>
            <w:tcBorders>
              <w:top w:val="double" w:sz="4" w:space="0" w:color="auto"/>
              <w:right w:val="double" w:sz="4" w:space="0" w:color="auto"/>
            </w:tcBorders>
          </w:tcPr>
          <w:p w14:paraId="0035BA9D" w14:textId="77777777" w:rsidR="008412F5" w:rsidRPr="00327310" w:rsidRDefault="008412F5" w:rsidP="00764C61">
            <w:pPr>
              <w:pStyle w:val="ListParagraph"/>
              <w:spacing w:after="0" w:line="240" w:lineRule="auto"/>
              <w:ind w:left="0"/>
              <w:rPr>
                <w:rFonts w:ascii="Garamond" w:hAnsi="Garamond"/>
                <w:sz w:val="20"/>
                <w:szCs w:val="24"/>
                <w:lang w:val="sq-AL"/>
              </w:rPr>
            </w:pPr>
          </w:p>
        </w:tc>
      </w:tr>
      <w:tr w:rsidR="008412F5" w:rsidRPr="00327310" w14:paraId="11B79760" w14:textId="77777777" w:rsidTr="00764C61">
        <w:trPr>
          <w:trHeight w:val="620"/>
        </w:trPr>
        <w:tc>
          <w:tcPr>
            <w:tcW w:w="613" w:type="pct"/>
            <w:vMerge/>
            <w:tcBorders>
              <w:left w:val="double" w:sz="4" w:space="0" w:color="auto"/>
              <w:bottom w:val="double" w:sz="4" w:space="0" w:color="auto"/>
            </w:tcBorders>
          </w:tcPr>
          <w:p w14:paraId="6F758824" w14:textId="77777777" w:rsidR="008412F5" w:rsidRPr="00327310" w:rsidRDefault="008412F5" w:rsidP="00764C61">
            <w:pPr>
              <w:pStyle w:val="ListParagraph"/>
              <w:spacing w:after="0" w:line="240" w:lineRule="auto"/>
              <w:ind w:left="0"/>
              <w:jc w:val="both"/>
              <w:rPr>
                <w:rFonts w:ascii="Garamond" w:hAnsi="Garamond"/>
                <w:sz w:val="20"/>
                <w:szCs w:val="24"/>
                <w:lang w:val="sq-AL"/>
              </w:rPr>
            </w:pPr>
          </w:p>
        </w:tc>
        <w:tc>
          <w:tcPr>
            <w:tcW w:w="1994" w:type="pct"/>
            <w:tcBorders>
              <w:bottom w:val="double" w:sz="4" w:space="0" w:color="auto"/>
            </w:tcBorders>
          </w:tcPr>
          <w:p w14:paraId="0AF4B90E" w14:textId="77777777" w:rsidR="008412F5" w:rsidRPr="00327310" w:rsidRDefault="008412F5" w:rsidP="00764C61">
            <w:pPr>
              <w:pStyle w:val="ListParagraph"/>
              <w:spacing w:after="0" w:line="240" w:lineRule="auto"/>
              <w:ind w:left="0"/>
              <w:jc w:val="both"/>
              <w:rPr>
                <w:rFonts w:ascii="Garamond" w:hAnsi="Garamond"/>
                <w:sz w:val="20"/>
                <w:szCs w:val="24"/>
                <w:lang w:val="sq-AL"/>
              </w:rPr>
            </w:pPr>
            <w:r w:rsidRPr="00327310">
              <w:rPr>
                <w:rFonts w:ascii="Garamond" w:hAnsi="Garamond"/>
                <w:sz w:val="20"/>
                <w:szCs w:val="24"/>
                <w:lang w:val="sq-AL"/>
              </w:rPr>
              <w:t>4.4.1.2 Mësimdhënësit hartojnë dhe zbatojnë veprimtari mbështetëse përmirësuese, bazuar në rezultatet e vlerësimit të vazhduar dhe atij përfundimtar.</w:t>
            </w:r>
          </w:p>
        </w:tc>
        <w:tc>
          <w:tcPr>
            <w:tcW w:w="491" w:type="pct"/>
            <w:tcBorders>
              <w:bottom w:val="double" w:sz="4" w:space="0" w:color="auto"/>
            </w:tcBorders>
          </w:tcPr>
          <w:p w14:paraId="696BF7D2" w14:textId="77777777" w:rsidR="008412F5" w:rsidRPr="00327310" w:rsidRDefault="008412F5" w:rsidP="00764C61">
            <w:pPr>
              <w:pStyle w:val="ListParagraph"/>
              <w:spacing w:after="0" w:line="240" w:lineRule="auto"/>
              <w:ind w:left="0"/>
              <w:rPr>
                <w:rFonts w:ascii="Garamond" w:hAnsi="Garamond"/>
                <w:sz w:val="20"/>
                <w:szCs w:val="24"/>
                <w:lang w:val="sq-AL"/>
              </w:rPr>
            </w:pPr>
          </w:p>
        </w:tc>
        <w:tc>
          <w:tcPr>
            <w:tcW w:w="491" w:type="pct"/>
            <w:tcBorders>
              <w:bottom w:val="double" w:sz="4" w:space="0" w:color="auto"/>
            </w:tcBorders>
          </w:tcPr>
          <w:p w14:paraId="6E0F13CB"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521" w:type="pct"/>
            <w:tcBorders>
              <w:bottom w:val="double" w:sz="4" w:space="0" w:color="auto"/>
            </w:tcBorders>
          </w:tcPr>
          <w:p w14:paraId="53775126"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29" w:type="pct"/>
            <w:tcBorders>
              <w:bottom w:val="double" w:sz="4" w:space="0" w:color="auto"/>
            </w:tcBorders>
          </w:tcPr>
          <w:p w14:paraId="23710921" w14:textId="77777777" w:rsidR="008412F5" w:rsidRPr="00327310" w:rsidRDefault="008412F5" w:rsidP="00764C61">
            <w:pPr>
              <w:pStyle w:val="ListParagraph"/>
              <w:spacing w:after="0" w:line="240" w:lineRule="auto"/>
              <w:ind w:left="0"/>
              <w:rPr>
                <w:rFonts w:ascii="Garamond" w:hAnsi="Garamond"/>
                <w:sz w:val="20"/>
                <w:szCs w:val="24"/>
                <w:lang w:val="sq-AL"/>
              </w:rPr>
            </w:pPr>
            <w:r w:rsidRPr="00327310">
              <w:rPr>
                <w:rFonts w:ascii="Garamond" w:hAnsi="Garamond"/>
                <w:sz w:val="20"/>
                <w:szCs w:val="24"/>
                <w:lang w:val="sq-AL"/>
              </w:rPr>
              <w:t>√</w:t>
            </w:r>
          </w:p>
        </w:tc>
        <w:tc>
          <w:tcPr>
            <w:tcW w:w="460" w:type="pct"/>
            <w:tcBorders>
              <w:bottom w:val="double" w:sz="4" w:space="0" w:color="auto"/>
              <w:right w:val="double" w:sz="4" w:space="0" w:color="auto"/>
            </w:tcBorders>
          </w:tcPr>
          <w:p w14:paraId="42780729" w14:textId="77777777" w:rsidR="008412F5" w:rsidRPr="00327310" w:rsidRDefault="008412F5" w:rsidP="00764C61">
            <w:pPr>
              <w:pStyle w:val="ListParagraph"/>
              <w:spacing w:after="0" w:line="240" w:lineRule="auto"/>
              <w:ind w:left="0"/>
              <w:rPr>
                <w:rFonts w:ascii="Garamond" w:hAnsi="Garamond"/>
                <w:sz w:val="20"/>
                <w:szCs w:val="24"/>
                <w:lang w:val="sq-AL"/>
              </w:rPr>
            </w:pPr>
          </w:p>
        </w:tc>
      </w:tr>
    </w:tbl>
    <w:p w14:paraId="4B36EB6E" w14:textId="77777777" w:rsidR="008412F5" w:rsidRPr="00327310" w:rsidRDefault="008412F5" w:rsidP="008412F5">
      <w:pPr>
        <w:pStyle w:val="ListParagraph"/>
        <w:ind w:firstLine="284"/>
        <w:jc w:val="both"/>
        <w:rPr>
          <w:rFonts w:ascii="Garamond" w:hAnsi="Garamond"/>
          <w:b/>
          <w:sz w:val="24"/>
          <w:szCs w:val="24"/>
          <w:lang w:val="sq-AL"/>
        </w:rPr>
      </w:pPr>
      <w:bookmarkStart w:id="22" w:name="_Toc44689571"/>
    </w:p>
    <w:p w14:paraId="14F2C596" w14:textId="77777777" w:rsidR="008412F5" w:rsidRPr="00327310" w:rsidRDefault="008412F5" w:rsidP="008412F5">
      <w:pPr>
        <w:pStyle w:val="ListParagraph"/>
        <w:ind w:firstLine="284"/>
        <w:jc w:val="both"/>
        <w:rPr>
          <w:rFonts w:ascii="Garamond" w:hAnsi="Garamond"/>
          <w:b/>
          <w:bCs/>
          <w:sz w:val="24"/>
          <w:szCs w:val="24"/>
          <w:lang w:val="sq-AL"/>
        </w:rPr>
      </w:pPr>
      <w:r w:rsidRPr="00327310">
        <w:rPr>
          <w:rFonts w:ascii="Garamond" w:hAnsi="Garamond"/>
          <w:b/>
          <w:sz w:val="24"/>
          <w:szCs w:val="24"/>
          <w:lang w:val="sq-AL"/>
        </w:rPr>
        <w:t xml:space="preserve">Nënfusha 4.5 </w:t>
      </w:r>
      <w:bookmarkEnd w:id="22"/>
      <w:r w:rsidRPr="00327310">
        <w:rPr>
          <w:rFonts w:ascii="Garamond" w:hAnsi="Garamond"/>
          <w:b/>
          <w:bCs/>
          <w:sz w:val="24"/>
          <w:szCs w:val="24"/>
          <w:lang w:val="sq-AL"/>
        </w:rPr>
        <w:t>Nxënësit/kursantët/individët me nevoja të veçanta/aftësi të kufizuar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5520"/>
        <w:gridCol w:w="1358"/>
        <w:gridCol w:w="1364"/>
        <w:gridCol w:w="1442"/>
        <w:gridCol w:w="1189"/>
        <w:gridCol w:w="1273"/>
      </w:tblGrid>
      <w:tr w:rsidR="008412F5" w:rsidRPr="00327310" w14:paraId="0773EB4C" w14:textId="77777777" w:rsidTr="00764C61">
        <w:trPr>
          <w:trHeight w:val="78"/>
        </w:trPr>
        <w:tc>
          <w:tcPr>
            <w:tcW w:w="640" w:type="pct"/>
            <w:tcBorders>
              <w:top w:val="double" w:sz="4" w:space="0" w:color="auto"/>
              <w:left w:val="double" w:sz="4" w:space="0" w:color="auto"/>
              <w:bottom w:val="double" w:sz="4" w:space="0" w:color="auto"/>
            </w:tcBorders>
            <w:shd w:val="clear" w:color="auto" w:fill="D9D9D9" w:themeFill="background1" w:themeFillShade="D9"/>
            <w:vAlign w:val="center"/>
          </w:tcPr>
          <w:p w14:paraId="4092D12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1982" w:type="pct"/>
            <w:tcBorders>
              <w:top w:val="double" w:sz="4" w:space="0" w:color="auto"/>
              <w:bottom w:val="double" w:sz="4" w:space="0" w:color="auto"/>
            </w:tcBorders>
            <w:shd w:val="clear" w:color="auto" w:fill="D9D9D9" w:themeFill="background1" w:themeFillShade="D9"/>
            <w:vAlign w:val="center"/>
          </w:tcPr>
          <w:p w14:paraId="5B6F8257"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488" w:type="pct"/>
            <w:tcBorders>
              <w:top w:val="double" w:sz="4" w:space="0" w:color="auto"/>
              <w:bottom w:val="double" w:sz="4" w:space="0" w:color="auto"/>
            </w:tcBorders>
            <w:shd w:val="clear" w:color="auto" w:fill="D9D9D9" w:themeFill="background1" w:themeFillShade="D9"/>
            <w:vAlign w:val="center"/>
          </w:tcPr>
          <w:p w14:paraId="5FE81906"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6614D7B7"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88" w:type="pct"/>
            <w:tcBorders>
              <w:top w:val="double" w:sz="4" w:space="0" w:color="auto"/>
              <w:bottom w:val="double" w:sz="4" w:space="0" w:color="auto"/>
            </w:tcBorders>
            <w:shd w:val="clear" w:color="auto" w:fill="D9D9D9" w:themeFill="background1" w:themeFillShade="D9"/>
            <w:vAlign w:val="center"/>
          </w:tcPr>
          <w:p w14:paraId="48A46DD5"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518" w:type="pct"/>
            <w:tcBorders>
              <w:top w:val="double" w:sz="4" w:space="0" w:color="auto"/>
              <w:bottom w:val="double" w:sz="4" w:space="0" w:color="auto"/>
            </w:tcBorders>
            <w:shd w:val="clear" w:color="auto" w:fill="D9D9D9" w:themeFill="background1" w:themeFillShade="D9"/>
            <w:vAlign w:val="center"/>
          </w:tcPr>
          <w:p w14:paraId="671662D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427" w:type="pct"/>
            <w:tcBorders>
              <w:top w:val="double" w:sz="4" w:space="0" w:color="auto"/>
              <w:bottom w:val="double" w:sz="4" w:space="0" w:color="auto"/>
            </w:tcBorders>
            <w:shd w:val="clear" w:color="auto" w:fill="D9D9D9" w:themeFill="background1" w:themeFillShade="D9"/>
            <w:vAlign w:val="center"/>
          </w:tcPr>
          <w:p w14:paraId="60DB93FF"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457" w:type="pct"/>
            <w:tcBorders>
              <w:top w:val="double" w:sz="4" w:space="0" w:color="auto"/>
              <w:bottom w:val="double" w:sz="4" w:space="0" w:color="auto"/>
              <w:right w:val="double" w:sz="4" w:space="0" w:color="auto"/>
            </w:tcBorders>
            <w:shd w:val="clear" w:color="auto" w:fill="D9D9D9" w:themeFill="background1" w:themeFillShade="D9"/>
            <w:vAlign w:val="center"/>
          </w:tcPr>
          <w:p w14:paraId="62C98410"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67DC3F43"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011CD31D" w14:textId="77777777" w:rsidTr="00764C61">
        <w:trPr>
          <w:trHeight w:val="20"/>
        </w:trPr>
        <w:tc>
          <w:tcPr>
            <w:tcW w:w="640" w:type="pct"/>
            <w:vMerge w:val="restart"/>
            <w:tcBorders>
              <w:top w:val="double" w:sz="4" w:space="0" w:color="auto"/>
              <w:left w:val="double" w:sz="4" w:space="0" w:color="auto"/>
            </w:tcBorders>
          </w:tcPr>
          <w:p w14:paraId="0516830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4.5.1 Mbështetja e përshtatshme për nxënësit/</w:t>
            </w:r>
            <w:r>
              <w:rPr>
                <w:rFonts w:ascii="Garamond" w:hAnsi="Garamond"/>
                <w:sz w:val="20"/>
                <w:szCs w:val="20"/>
                <w:lang w:val="sq-AL"/>
              </w:rPr>
              <w:t xml:space="preserve"> </w:t>
            </w:r>
            <w:r w:rsidRPr="00327310">
              <w:rPr>
                <w:rFonts w:ascii="Garamond" w:hAnsi="Garamond"/>
                <w:sz w:val="20"/>
                <w:szCs w:val="20"/>
                <w:lang w:val="sq-AL"/>
              </w:rPr>
              <w:t>kursantët/</w:t>
            </w:r>
            <w:r>
              <w:rPr>
                <w:rFonts w:ascii="Garamond" w:hAnsi="Garamond"/>
                <w:sz w:val="20"/>
                <w:szCs w:val="20"/>
                <w:lang w:val="sq-AL"/>
              </w:rPr>
              <w:t xml:space="preserve"> </w:t>
            </w:r>
            <w:r w:rsidRPr="00327310">
              <w:rPr>
                <w:rFonts w:ascii="Garamond" w:hAnsi="Garamond"/>
                <w:sz w:val="20"/>
                <w:szCs w:val="20"/>
                <w:lang w:val="sq-AL"/>
              </w:rPr>
              <w:t xml:space="preserve">individët </w:t>
            </w:r>
            <w:r w:rsidRPr="00327310">
              <w:rPr>
                <w:rFonts w:ascii="Garamond" w:hAnsi="Garamond"/>
                <w:bCs/>
                <w:sz w:val="20"/>
                <w:szCs w:val="20"/>
                <w:lang w:val="sq-AL"/>
              </w:rPr>
              <w:lastRenderedPageBreak/>
              <w:t>me nevoja të veçanta</w:t>
            </w:r>
            <w:r w:rsidRPr="00327310">
              <w:rPr>
                <w:rFonts w:ascii="Garamond" w:hAnsi="Garamond"/>
                <w:sz w:val="20"/>
                <w:szCs w:val="20"/>
                <w:lang w:val="sq-AL"/>
              </w:rPr>
              <w:t>, me qëllim arritjen e rezultateve të pritshme të të nxënit</w:t>
            </w:r>
          </w:p>
        </w:tc>
        <w:tc>
          <w:tcPr>
            <w:tcW w:w="1982" w:type="pct"/>
            <w:tcBorders>
              <w:top w:val="double" w:sz="4" w:space="0" w:color="auto"/>
            </w:tcBorders>
          </w:tcPr>
          <w:p w14:paraId="4BAE454A"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lastRenderedPageBreak/>
              <w:t xml:space="preserve">4. </w:t>
            </w:r>
            <w:r w:rsidRPr="00327310">
              <w:rPr>
                <w:rFonts w:ascii="Garamond" w:hAnsi="Garamond"/>
                <w:bCs/>
                <w:sz w:val="20"/>
                <w:szCs w:val="20"/>
                <w:lang w:val="sq-AL"/>
              </w:rPr>
              <w:t>5.1.1</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garanton akses në mjedise për nxënësit/kursantët/individët me nevoja të veçanta/aftësi të kufizuara, sipas modelit universal ose sipas parashikimeve në legjislacionin në fuqi.</w:t>
            </w:r>
          </w:p>
        </w:tc>
        <w:tc>
          <w:tcPr>
            <w:tcW w:w="488" w:type="pct"/>
            <w:tcBorders>
              <w:top w:val="double" w:sz="4" w:space="0" w:color="auto"/>
            </w:tcBorders>
          </w:tcPr>
          <w:p w14:paraId="77A5113B"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Borders>
              <w:top w:val="double" w:sz="4" w:space="0" w:color="auto"/>
            </w:tcBorders>
          </w:tcPr>
          <w:p w14:paraId="1292ED1D"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518" w:type="pct"/>
            <w:tcBorders>
              <w:top w:val="double" w:sz="4" w:space="0" w:color="auto"/>
            </w:tcBorders>
          </w:tcPr>
          <w:p w14:paraId="299F1B92"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27" w:type="pct"/>
            <w:tcBorders>
              <w:top w:val="double" w:sz="4" w:space="0" w:color="auto"/>
            </w:tcBorders>
          </w:tcPr>
          <w:p w14:paraId="57F1860E"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57" w:type="pct"/>
            <w:tcBorders>
              <w:top w:val="double" w:sz="4" w:space="0" w:color="auto"/>
              <w:right w:val="double" w:sz="4" w:space="0" w:color="auto"/>
            </w:tcBorders>
          </w:tcPr>
          <w:p w14:paraId="67B0B501"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3B9D8047" w14:textId="77777777" w:rsidTr="00764C61">
        <w:trPr>
          <w:trHeight w:val="20"/>
        </w:trPr>
        <w:tc>
          <w:tcPr>
            <w:tcW w:w="640" w:type="pct"/>
            <w:vMerge/>
            <w:tcBorders>
              <w:left w:val="double" w:sz="4" w:space="0" w:color="auto"/>
            </w:tcBorders>
          </w:tcPr>
          <w:p w14:paraId="49DBBAA7"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82" w:type="pct"/>
          </w:tcPr>
          <w:p w14:paraId="0D947E93"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 xml:space="preserve">4. </w:t>
            </w:r>
            <w:r w:rsidRPr="00327310">
              <w:rPr>
                <w:rFonts w:ascii="Garamond" w:hAnsi="Garamond"/>
                <w:bCs/>
                <w:sz w:val="20"/>
                <w:szCs w:val="20"/>
                <w:lang w:val="sq-AL"/>
              </w:rPr>
              <w:t>5.1.2 Drejtoria e ofruesit të AFP-së garanton materiale mësimore dhe instrumente të tjera ndihmëse, të përshtatura për nxënësit/</w:t>
            </w:r>
            <w:r>
              <w:rPr>
                <w:rFonts w:ascii="Garamond" w:hAnsi="Garamond"/>
                <w:bCs/>
                <w:sz w:val="20"/>
                <w:szCs w:val="20"/>
                <w:lang w:val="sq-AL"/>
              </w:rPr>
              <w:t xml:space="preserve"> </w:t>
            </w:r>
            <w:r w:rsidRPr="00327310">
              <w:rPr>
                <w:rFonts w:ascii="Garamond" w:hAnsi="Garamond"/>
                <w:bCs/>
                <w:sz w:val="20"/>
                <w:szCs w:val="20"/>
                <w:lang w:val="sq-AL"/>
              </w:rPr>
              <w:t>kursantët/individët me nevoja të veçanta/aftësi të kufizuara.</w:t>
            </w:r>
          </w:p>
        </w:tc>
        <w:tc>
          <w:tcPr>
            <w:tcW w:w="488" w:type="pct"/>
          </w:tcPr>
          <w:p w14:paraId="14C88D8B"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6CEAD38D"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518" w:type="pct"/>
          </w:tcPr>
          <w:p w14:paraId="07C2C20F"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27" w:type="pct"/>
          </w:tcPr>
          <w:p w14:paraId="559B7A69"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57" w:type="pct"/>
            <w:tcBorders>
              <w:right w:val="double" w:sz="4" w:space="0" w:color="auto"/>
            </w:tcBorders>
          </w:tcPr>
          <w:p w14:paraId="48B3FA7E"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1E1EB267" w14:textId="77777777" w:rsidTr="00764C61">
        <w:trPr>
          <w:trHeight w:val="20"/>
        </w:trPr>
        <w:tc>
          <w:tcPr>
            <w:tcW w:w="640" w:type="pct"/>
            <w:vMerge/>
            <w:tcBorders>
              <w:left w:val="double" w:sz="4" w:space="0" w:color="auto"/>
            </w:tcBorders>
          </w:tcPr>
          <w:p w14:paraId="244EE8B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82" w:type="pct"/>
          </w:tcPr>
          <w:p w14:paraId="0243059C"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 xml:space="preserve">4.5.1.3 Drejtoria e ofruesit të AFP-së, sipas rastit, garanton akses në të dhëna dhe informacione me rëndësi për </w:t>
            </w:r>
            <w:r w:rsidRPr="00327310">
              <w:rPr>
                <w:rFonts w:ascii="Garamond" w:hAnsi="Garamond"/>
                <w:bCs/>
                <w:sz w:val="20"/>
                <w:szCs w:val="20"/>
                <w:lang w:val="sq-AL"/>
              </w:rPr>
              <w:t>nxënësit/</w:t>
            </w:r>
            <w:r>
              <w:rPr>
                <w:rFonts w:ascii="Garamond" w:hAnsi="Garamond"/>
                <w:bCs/>
                <w:sz w:val="20"/>
                <w:szCs w:val="20"/>
                <w:lang w:val="sq-AL"/>
              </w:rPr>
              <w:t xml:space="preserve"> </w:t>
            </w:r>
            <w:r w:rsidRPr="00327310">
              <w:rPr>
                <w:rFonts w:ascii="Garamond" w:hAnsi="Garamond"/>
                <w:bCs/>
                <w:sz w:val="20"/>
                <w:szCs w:val="20"/>
                <w:lang w:val="sq-AL"/>
              </w:rPr>
              <w:t>kursantët/</w:t>
            </w:r>
            <w:r>
              <w:rPr>
                <w:rFonts w:ascii="Garamond" w:hAnsi="Garamond"/>
                <w:bCs/>
                <w:sz w:val="20"/>
                <w:szCs w:val="20"/>
                <w:lang w:val="sq-AL"/>
              </w:rPr>
              <w:t xml:space="preserve"> </w:t>
            </w:r>
            <w:r w:rsidRPr="00327310">
              <w:rPr>
                <w:rFonts w:ascii="Garamond" w:hAnsi="Garamond"/>
                <w:bCs/>
                <w:sz w:val="20"/>
                <w:szCs w:val="20"/>
                <w:lang w:val="sq-AL"/>
              </w:rPr>
              <w:t xml:space="preserve">individët me nevoja të veçanta/aftësi të kufizuara, </w:t>
            </w:r>
            <w:r w:rsidRPr="00327310">
              <w:rPr>
                <w:rFonts w:ascii="Garamond" w:hAnsi="Garamond"/>
                <w:sz w:val="20"/>
                <w:szCs w:val="20"/>
                <w:lang w:val="sq-AL"/>
              </w:rPr>
              <w:t>në gjuhë, formate dhe forma komunikimi të përshtatura sipas llojit të aftësisë së kufizuar.</w:t>
            </w:r>
          </w:p>
        </w:tc>
        <w:tc>
          <w:tcPr>
            <w:tcW w:w="488" w:type="pct"/>
          </w:tcPr>
          <w:p w14:paraId="603AE393"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4E395732"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518" w:type="pct"/>
          </w:tcPr>
          <w:p w14:paraId="08D2ED03"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27" w:type="pct"/>
          </w:tcPr>
          <w:p w14:paraId="1EDB4962"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57" w:type="pct"/>
            <w:tcBorders>
              <w:right w:val="double" w:sz="4" w:space="0" w:color="auto"/>
            </w:tcBorders>
          </w:tcPr>
          <w:p w14:paraId="5D9AFE68"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54B9687E" w14:textId="77777777" w:rsidTr="00764C61">
        <w:trPr>
          <w:trHeight w:val="20"/>
        </w:trPr>
        <w:tc>
          <w:tcPr>
            <w:tcW w:w="640" w:type="pct"/>
            <w:vMerge/>
            <w:tcBorders>
              <w:left w:val="double" w:sz="4" w:space="0" w:color="auto"/>
            </w:tcBorders>
          </w:tcPr>
          <w:p w14:paraId="1AAECBF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82" w:type="pct"/>
          </w:tcPr>
          <w:p w14:paraId="3ED4C06A"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 xml:space="preserve">4.5.1.4 </w:t>
            </w:r>
            <w:r w:rsidRPr="00327310">
              <w:rPr>
                <w:rFonts w:ascii="Garamond" w:hAnsi="Garamond"/>
                <w:bCs/>
                <w:sz w:val="20"/>
                <w:szCs w:val="20"/>
                <w:lang w:val="sq-AL"/>
              </w:rPr>
              <w:t xml:space="preserve">(*) </w:t>
            </w:r>
            <w:r w:rsidRPr="00327310">
              <w:rPr>
                <w:rFonts w:ascii="Garamond" w:hAnsi="Garamond"/>
                <w:sz w:val="20"/>
                <w:szCs w:val="20"/>
                <w:lang w:val="sq-AL"/>
              </w:rPr>
              <w:t xml:space="preserve">Mësimdhënësit hartojnë programe mësimore individuale për </w:t>
            </w:r>
            <w:r w:rsidRPr="00327310">
              <w:rPr>
                <w:rFonts w:ascii="Garamond" w:hAnsi="Garamond"/>
                <w:bCs/>
                <w:sz w:val="20"/>
                <w:szCs w:val="20"/>
                <w:lang w:val="sq-AL"/>
              </w:rPr>
              <w:t>nxënësit/kursantët/individët</w:t>
            </w:r>
            <w:r w:rsidRPr="00327310">
              <w:rPr>
                <w:rFonts w:ascii="Garamond" w:hAnsi="Garamond"/>
                <w:sz w:val="20"/>
                <w:szCs w:val="20"/>
                <w:lang w:val="sq-AL"/>
              </w:rPr>
              <w:t xml:space="preserve"> </w:t>
            </w:r>
            <w:r w:rsidRPr="00327310">
              <w:rPr>
                <w:rFonts w:ascii="Garamond" w:hAnsi="Garamond"/>
                <w:bCs/>
                <w:sz w:val="20"/>
                <w:szCs w:val="20"/>
                <w:lang w:val="sq-AL"/>
              </w:rPr>
              <w:t>me nevoja të veçanta/aftësi të kufizuara</w:t>
            </w:r>
            <w:r w:rsidRPr="00327310">
              <w:rPr>
                <w:rFonts w:ascii="Garamond" w:hAnsi="Garamond"/>
                <w:sz w:val="20"/>
                <w:szCs w:val="20"/>
                <w:lang w:val="sq-AL"/>
              </w:rPr>
              <w:t xml:space="preserve">, në përputhje me dispozitat e legjislacionit në fuqi, </w:t>
            </w:r>
          </w:p>
        </w:tc>
        <w:tc>
          <w:tcPr>
            <w:tcW w:w="488" w:type="pct"/>
          </w:tcPr>
          <w:p w14:paraId="02E686FE"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60D561A3"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518" w:type="pct"/>
          </w:tcPr>
          <w:p w14:paraId="750FA03A"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27" w:type="pct"/>
          </w:tcPr>
          <w:p w14:paraId="7382C522"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57" w:type="pct"/>
            <w:tcBorders>
              <w:right w:val="double" w:sz="4" w:space="0" w:color="auto"/>
            </w:tcBorders>
          </w:tcPr>
          <w:p w14:paraId="7AD19120"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6E4A9EBF" w14:textId="77777777" w:rsidTr="00764C61">
        <w:trPr>
          <w:trHeight w:val="20"/>
        </w:trPr>
        <w:tc>
          <w:tcPr>
            <w:tcW w:w="640" w:type="pct"/>
            <w:vMerge/>
            <w:tcBorders>
              <w:left w:val="double" w:sz="4" w:space="0" w:color="auto"/>
            </w:tcBorders>
          </w:tcPr>
          <w:p w14:paraId="67EA8AF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82" w:type="pct"/>
          </w:tcPr>
          <w:p w14:paraId="2BE1A309"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 xml:space="preserve">4.5.1.5 </w:t>
            </w:r>
            <w:r w:rsidRPr="00327310">
              <w:rPr>
                <w:rFonts w:ascii="Garamond" w:hAnsi="Garamond"/>
                <w:bCs/>
                <w:sz w:val="20"/>
                <w:szCs w:val="20"/>
                <w:lang w:val="sq-AL"/>
              </w:rPr>
              <w:t xml:space="preserve">(*) </w:t>
            </w:r>
            <w:r w:rsidRPr="00327310">
              <w:rPr>
                <w:rFonts w:ascii="Garamond" w:hAnsi="Garamond"/>
                <w:sz w:val="20"/>
                <w:szCs w:val="20"/>
                <w:lang w:val="sq-AL"/>
              </w:rPr>
              <w:t>S</w:t>
            </w:r>
            <w:r w:rsidRPr="00327310">
              <w:rPr>
                <w:rFonts w:ascii="Garamond" w:hAnsi="Garamond"/>
                <w:bCs/>
                <w:sz w:val="20"/>
                <w:szCs w:val="20"/>
                <w:lang w:val="sq-AL"/>
              </w:rPr>
              <w:t xml:space="preserve">tafi </w:t>
            </w:r>
            <w:r w:rsidRPr="00327310">
              <w:rPr>
                <w:rFonts w:ascii="Garamond" w:hAnsi="Garamond"/>
                <w:sz w:val="20"/>
                <w:szCs w:val="20"/>
                <w:lang w:val="sq-AL"/>
              </w:rPr>
              <w:t xml:space="preserve">i ofruesit të AFP-së ofron mbështetje individuale për </w:t>
            </w:r>
            <w:r w:rsidRPr="00327310">
              <w:rPr>
                <w:rFonts w:ascii="Garamond" w:hAnsi="Garamond"/>
                <w:bCs/>
                <w:sz w:val="20"/>
                <w:szCs w:val="20"/>
                <w:lang w:val="sq-AL"/>
              </w:rPr>
              <w:t xml:space="preserve">nxënësit/kursantët/individët me nevoja të veçanta/aftësi të kufizuara, </w:t>
            </w:r>
            <w:r w:rsidRPr="00327310">
              <w:rPr>
                <w:rFonts w:ascii="Garamond" w:hAnsi="Garamond"/>
                <w:sz w:val="20"/>
                <w:szCs w:val="20"/>
                <w:lang w:val="sq-AL"/>
              </w:rPr>
              <w:t>për aksesin në mjediset, hapësirat, infrastrukturën dhe materialet mësimore.</w:t>
            </w:r>
          </w:p>
        </w:tc>
        <w:tc>
          <w:tcPr>
            <w:tcW w:w="488" w:type="pct"/>
          </w:tcPr>
          <w:p w14:paraId="0A38556F"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2E32298A"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518" w:type="pct"/>
          </w:tcPr>
          <w:p w14:paraId="55705F09"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27" w:type="pct"/>
          </w:tcPr>
          <w:p w14:paraId="52FAB62F"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57" w:type="pct"/>
            <w:tcBorders>
              <w:right w:val="double" w:sz="4" w:space="0" w:color="auto"/>
            </w:tcBorders>
          </w:tcPr>
          <w:p w14:paraId="772C01B6"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3D5EE333" w14:textId="77777777" w:rsidTr="00764C61">
        <w:trPr>
          <w:trHeight w:val="20"/>
        </w:trPr>
        <w:tc>
          <w:tcPr>
            <w:tcW w:w="640" w:type="pct"/>
            <w:tcBorders>
              <w:left w:val="double" w:sz="4" w:space="0" w:color="auto"/>
              <w:bottom w:val="double" w:sz="4" w:space="0" w:color="auto"/>
            </w:tcBorders>
          </w:tcPr>
          <w:p w14:paraId="3FB8FA8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4.5.2 Shërbimet e këshillimit dhe mbështetjes për nxënësit/kursantët/ individët me nevoja të veçanta/aftësi të kufizuar me qëllim përmirësimin e rezultateve të të nxënit dhe mirëqenies.</w:t>
            </w:r>
          </w:p>
        </w:tc>
        <w:tc>
          <w:tcPr>
            <w:tcW w:w="1982" w:type="pct"/>
            <w:tcBorders>
              <w:bottom w:val="double" w:sz="4" w:space="0" w:color="auto"/>
            </w:tcBorders>
          </w:tcPr>
          <w:p w14:paraId="366ED6BE"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4.</w:t>
            </w:r>
            <w:r w:rsidRPr="00327310">
              <w:rPr>
                <w:rFonts w:ascii="Garamond" w:hAnsi="Garamond"/>
                <w:bCs/>
                <w:sz w:val="20"/>
                <w:szCs w:val="20"/>
                <w:lang w:val="sq-AL"/>
              </w:rPr>
              <w:t>5.2.1</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nëpërmjet njësisë së zhvillimit (ose strukturës përgjegjëse për sigurimin e cilësisë), ofron shërbime këshillimi dhe orientimi për nxënësit/kursantët/individët, me nevoja të veçanta/aftësi të kufizuar, në përshtatje me specifikat e tyre.</w:t>
            </w:r>
          </w:p>
        </w:tc>
        <w:tc>
          <w:tcPr>
            <w:tcW w:w="488" w:type="pct"/>
            <w:tcBorders>
              <w:bottom w:val="double" w:sz="4" w:space="0" w:color="auto"/>
            </w:tcBorders>
          </w:tcPr>
          <w:p w14:paraId="5531137C"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Borders>
              <w:bottom w:val="double" w:sz="4" w:space="0" w:color="auto"/>
            </w:tcBorders>
          </w:tcPr>
          <w:p w14:paraId="56C55B6E"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518" w:type="pct"/>
            <w:tcBorders>
              <w:bottom w:val="double" w:sz="4" w:space="0" w:color="auto"/>
            </w:tcBorders>
          </w:tcPr>
          <w:p w14:paraId="6C516D90"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27" w:type="pct"/>
            <w:tcBorders>
              <w:bottom w:val="double" w:sz="4" w:space="0" w:color="auto"/>
            </w:tcBorders>
          </w:tcPr>
          <w:p w14:paraId="0AE52F04"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57" w:type="pct"/>
            <w:tcBorders>
              <w:bottom w:val="double" w:sz="4" w:space="0" w:color="auto"/>
              <w:right w:val="double" w:sz="4" w:space="0" w:color="auto"/>
            </w:tcBorders>
          </w:tcPr>
          <w:p w14:paraId="1549701E"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bl>
    <w:p w14:paraId="7C3EED1F" w14:textId="77777777" w:rsidR="008412F5" w:rsidRPr="00327310" w:rsidRDefault="008412F5" w:rsidP="008412F5">
      <w:pPr>
        <w:pStyle w:val="ListParagraph"/>
        <w:ind w:firstLine="284"/>
        <w:jc w:val="both"/>
        <w:rPr>
          <w:rFonts w:ascii="Garamond" w:hAnsi="Garamond"/>
          <w:sz w:val="24"/>
          <w:szCs w:val="24"/>
          <w:lang w:val="sq-AL"/>
        </w:rPr>
      </w:pPr>
    </w:p>
    <w:p w14:paraId="151BB70D" w14:textId="77777777" w:rsidR="008412F5" w:rsidRPr="00327310" w:rsidRDefault="008412F5" w:rsidP="008412F5">
      <w:pPr>
        <w:pStyle w:val="ListParagraph"/>
        <w:ind w:firstLine="284"/>
        <w:jc w:val="both"/>
        <w:rPr>
          <w:rFonts w:ascii="Garamond" w:hAnsi="Garamond"/>
          <w:b/>
          <w:sz w:val="24"/>
          <w:szCs w:val="24"/>
          <w:lang w:val="sq-AL"/>
        </w:rPr>
      </w:pPr>
      <w:bookmarkStart w:id="23" w:name="_Toc62649095"/>
      <w:r w:rsidRPr="00327310">
        <w:rPr>
          <w:rFonts w:ascii="Garamond" w:hAnsi="Garamond"/>
          <w:b/>
          <w:sz w:val="24"/>
          <w:szCs w:val="24"/>
          <w:lang w:val="sq-AL"/>
        </w:rPr>
        <w:t xml:space="preserve">Fusha 5. </w:t>
      </w:r>
      <w:bookmarkEnd w:id="23"/>
      <w:r w:rsidRPr="00327310">
        <w:rPr>
          <w:rFonts w:ascii="Garamond" w:hAnsi="Garamond"/>
          <w:b/>
          <w:sz w:val="24"/>
          <w:szCs w:val="24"/>
          <w:lang w:val="sq-AL"/>
        </w:rPr>
        <w:t xml:space="preserve">Vlerësimi </w:t>
      </w:r>
    </w:p>
    <w:p w14:paraId="634A19B4" w14:textId="77777777" w:rsidR="008412F5" w:rsidRPr="00327310" w:rsidRDefault="008412F5" w:rsidP="008412F5">
      <w:pPr>
        <w:pStyle w:val="ListParagraph"/>
        <w:ind w:firstLine="284"/>
        <w:jc w:val="both"/>
        <w:rPr>
          <w:rFonts w:ascii="Garamond" w:hAnsi="Garamond"/>
          <w:sz w:val="24"/>
          <w:szCs w:val="24"/>
          <w:lang w:val="sq-AL"/>
        </w:rPr>
      </w:pPr>
      <w:bookmarkStart w:id="24" w:name="_Toc44689573"/>
      <w:r w:rsidRPr="00327310">
        <w:rPr>
          <w:rFonts w:ascii="Garamond" w:hAnsi="Garamond"/>
          <w:b/>
          <w:sz w:val="24"/>
          <w:szCs w:val="24"/>
          <w:lang w:val="sq-AL"/>
        </w:rPr>
        <w:t xml:space="preserve">Nënfusha 5.1 </w:t>
      </w:r>
      <w:bookmarkEnd w:id="24"/>
      <w:r w:rsidRPr="00327310">
        <w:rPr>
          <w:rFonts w:ascii="Garamond" w:hAnsi="Garamond"/>
          <w:b/>
          <w:bCs/>
          <w:sz w:val="24"/>
          <w:szCs w:val="24"/>
          <w:lang w:val="sq-AL"/>
        </w:rPr>
        <w:t>Vlerësimi i vazhduar dhe përfundimtar i rezultateve të të nxënit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5425"/>
        <w:gridCol w:w="1358"/>
        <w:gridCol w:w="1364"/>
        <w:gridCol w:w="1364"/>
        <w:gridCol w:w="1105"/>
        <w:gridCol w:w="1445"/>
      </w:tblGrid>
      <w:tr w:rsidR="008412F5" w:rsidRPr="00327310" w14:paraId="33315632" w14:textId="77777777" w:rsidTr="00764C61">
        <w:trPr>
          <w:jc w:val="center"/>
        </w:trPr>
        <w:tc>
          <w:tcPr>
            <w:tcW w:w="671" w:type="pct"/>
            <w:tcBorders>
              <w:top w:val="double" w:sz="4" w:space="0" w:color="auto"/>
              <w:left w:val="double" w:sz="4" w:space="0" w:color="auto"/>
              <w:bottom w:val="double" w:sz="4" w:space="0" w:color="auto"/>
            </w:tcBorders>
            <w:shd w:val="clear" w:color="auto" w:fill="D9D9D9" w:themeFill="background1" w:themeFillShade="D9"/>
            <w:vAlign w:val="center"/>
          </w:tcPr>
          <w:p w14:paraId="2CC90022"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TREGUESIT</w:t>
            </w:r>
          </w:p>
        </w:tc>
        <w:tc>
          <w:tcPr>
            <w:tcW w:w="1948" w:type="pct"/>
            <w:tcBorders>
              <w:top w:val="double" w:sz="4" w:space="0" w:color="auto"/>
              <w:bottom w:val="double" w:sz="4" w:space="0" w:color="auto"/>
            </w:tcBorders>
            <w:shd w:val="clear" w:color="auto" w:fill="D9D9D9" w:themeFill="background1" w:themeFillShade="D9"/>
            <w:vAlign w:val="center"/>
          </w:tcPr>
          <w:p w14:paraId="3616E7DA"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Kriteret</w:t>
            </w:r>
          </w:p>
        </w:tc>
        <w:tc>
          <w:tcPr>
            <w:tcW w:w="488" w:type="pct"/>
            <w:tcBorders>
              <w:top w:val="double" w:sz="4" w:space="0" w:color="auto"/>
              <w:bottom w:val="double" w:sz="4" w:space="0" w:color="auto"/>
            </w:tcBorders>
            <w:shd w:val="clear" w:color="auto" w:fill="D9D9D9" w:themeFill="background1" w:themeFillShade="D9"/>
            <w:vAlign w:val="center"/>
          </w:tcPr>
          <w:p w14:paraId="27C96552"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7440CD6F"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p>
          <w:p w14:paraId="75160293"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w:t>
            </w:r>
          </w:p>
          <w:p w14:paraId="686DA6EE"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rinj të AFP-së</w:t>
            </w:r>
          </w:p>
        </w:tc>
        <w:tc>
          <w:tcPr>
            <w:tcW w:w="488" w:type="pct"/>
            <w:tcBorders>
              <w:top w:val="double" w:sz="4" w:space="0" w:color="auto"/>
              <w:bottom w:val="double" w:sz="4" w:space="0" w:color="auto"/>
            </w:tcBorders>
            <w:shd w:val="clear" w:color="auto" w:fill="D9D9D9" w:themeFill="background1" w:themeFillShade="D9"/>
            <w:vAlign w:val="center"/>
          </w:tcPr>
          <w:p w14:paraId="51A9D718"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 xml:space="preserve">Ofruesit e kualifikimeve </w:t>
            </w:r>
            <w:r>
              <w:rPr>
                <w:rFonts w:ascii="Garamond" w:hAnsi="Garamond"/>
                <w:b/>
                <w:bCs/>
                <w:sz w:val="20"/>
                <w:szCs w:val="20"/>
                <w:lang w:val="sq-AL"/>
              </w:rPr>
              <w:t>2–5 të KSHK-së (arsimi profesional formal)</w:t>
            </w:r>
          </w:p>
        </w:tc>
        <w:tc>
          <w:tcPr>
            <w:tcW w:w="488" w:type="pct"/>
            <w:tcBorders>
              <w:top w:val="double" w:sz="4" w:space="0" w:color="auto"/>
              <w:bottom w:val="double" w:sz="4" w:space="0" w:color="auto"/>
            </w:tcBorders>
            <w:shd w:val="clear" w:color="auto" w:fill="D9D9D9" w:themeFill="background1" w:themeFillShade="D9"/>
            <w:vAlign w:val="center"/>
          </w:tcPr>
          <w:p w14:paraId="7BAD9D5D"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kualifikimeve të të nxënit gjatë gjithë jetës (LLL)</w:t>
            </w:r>
          </w:p>
        </w:tc>
        <w:tc>
          <w:tcPr>
            <w:tcW w:w="397" w:type="pct"/>
            <w:tcBorders>
              <w:top w:val="double" w:sz="4" w:space="0" w:color="auto"/>
              <w:bottom w:val="double" w:sz="4" w:space="0" w:color="auto"/>
            </w:tcBorders>
            <w:shd w:val="clear" w:color="auto" w:fill="D9D9D9" w:themeFill="background1" w:themeFillShade="D9"/>
            <w:vAlign w:val="center"/>
          </w:tcPr>
          <w:p w14:paraId="4E7AFD55"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Ofruesit e validimit të të nxënit joformal dhe informal (VNJI)</w:t>
            </w:r>
          </w:p>
        </w:tc>
        <w:tc>
          <w:tcPr>
            <w:tcW w:w="519" w:type="pct"/>
            <w:tcBorders>
              <w:top w:val="double" w:sz="4" w:space="0" w:color="auto"/>
              <w:bottom w:val="double" w:sz="4" w:space="0" w:color="auto"/>
              <w:right w:val="double" w:sz="4" w:space="0" w:color="auto"/>
            </w:tcBorders>
            <w:shd w:val="clear" w:color="auto" w:fill="D9D9D9" w:themeFill="background1" w:themeFillShade="D9"/>
            <w:vAlign w:val="center"/>
          </w:tcPr>
          <w:p w14:paraId="5F558C28"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A është përmbushur kriteri</w:t>
            </w:r>
          </w:p>
          <w:p w14:paraId="6FEEB20B" w14:textId="77777777" w:rsidR="008412F5" w:rsidRPr="00327310" w:rsidRDefault="008412F5" w:rsidP="00764C61">
            <w:pPr>
              <w:pStyle w:val="ListParagraph"/>
              <w:spacing w:after="0" w:line="240" w:lineRule="auto"/>
              <w:ind w:left="0"/>
              <w:jc w:val="center"/>
              <w:rPr>
                <w:rFonts w:ascii="Garamond" w:hAnsi="Garamond"/>
                <w:b/>
                <w:bCs/>
                <w:sz w:val="20"/>
                <w:szCs w:val="20"/>
                <w:lang w:val="sq-AL"/>
              </w:rPr>
            </w:pPr>
            <w:r w:rsidRPr="00327310">
              <w:rPr>
                <w:rFonts w:ascii="Garamond" w:hAnsi="Garamond"/>
                <w:b/>
                <w:bCs/>
                <w:sz w:val="20"/>
                <w:szCs w:val="20"/>
                <w:lang w:val="sq-AL"/>
              </w:rPr>
              <w:t>(Po/Jo)</w:t>
            </w:r>
          </w:p>
        </w:tc>
      </w:tr>
      <w:tr w:rsidR="008412F5" w:rsidRPr="00327310" w14:paraId="222D35B9" w14:textId="77777777" w:rsidTr="00764C61">
        <w:trPr>
          <w:jc w:val="center"/>
        </w:trPr>
        <w:tc>
          <w:tcPr>
            <w:tcW w:w="671" w:type="pct"/>
            <w:vMerge w:val="restart"/>
            <w:tcBorders>
              <w:top w:val="double" w:sz="4" w:space="0" w:color="auto"/>
              <w:left w:val="double" w:sz="4" w:space="0" w:color="auto"/>
            </w:tcBorders>
          </w:tcPr>
          <w:p w14:paraId="06C47BE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lastRenderedPageBreak/>
              <w:t>5.1.1 Planifikimi, zbatimi dhe dokumentimi i vlerësimit të vazhduar të rezultateve të të nxënit.</w:t>
            </w:r>
          </w:p>
          <w:p w14:paraId="3AD3230B" w14:textId="77777777" w:rsidR="008412F5" w:rsidRPr="00327310" w:rsidRDefault="008412F5" w:rsidP="00764C61">
            <w:pPr>
              <w:pStyle w:val="ListParagraph"/>
              <w:spacing w:after="0" w:line="240" w:lineRule="auto"/>
              <w:ind w:left="0"/>
              <w:rPr>
                <w:rFonts w:ascii="Garamond" w:hAnsi="Garamond"/>
                <w:sz w:val="20"/>
                <w:szCs w:val="20"/>
                <w:lang w:val="sq-AL"/>
              </w:rPr>
            </w:pPr>
          </w:p>
          <w:p w14:paraId="50F41EB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Borders>
              <w:top w:val="double" w:sz="4" w:space="0" w:color="auto"/>
            </w:tcBorders>
          </w:tcPr>
          <w:p w14:paraId="404AEB0F"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5.1.1.1</w:t>
            </w:r>
            <w:r>
              <w:rPr>
                <w:rFonts w:ascii="Garamond" w:hAnsi="Garamond"/>
                <w:sz w:val="20"/>
                <w:szCs w:val="20"/>
                <w:lang w:val="sq-AL"/>
              </w:rPr>
              <w:t xml:space="preserve"> (*)</w:t>
            </w:r>
            <w:r w:rsidRPr="00327310">
              <w:rPr>
                <w:rFonts w:ascii="Garamond" w:hAnsi="Garamond"/>
                <w:bCs/>
                <w:sz w:val="20"/>
                <w:szCs w:val="20"/>
                <w:lang w:val="sq-AL"/>
              </w:rPr>
              <w:t xml:space="preserve"> </w:t>
            </w:r>
            <w:r w:rsidRPr="00327310">
              <w:rPr>
                <w:rFonts w:ascii="Garamond" w:hAnsi="Garamond"/>
                <w:sz w:val="20"/>
                <w:szCs w:val="20"/>
                <w:lang w:val="sq-AL"/>
              </w:rPr>
              <w:t>Planifikimi i procesit të të nxënit dhe vlerësimit përfshin metodologji dhe instrumente për vlerësimin e vazhdueshëm të rezultateve të të nxënit në të gjitha llojet e kualifikimeve profesionale të AFP-së.</w:t>
            </w:r>
          </w:p>
        </w:tc>
        <w:tc>
          <w:tcPr>
            <w:tcW w:w="488" w:type="pct"/>
          </w:tcPr>
          <w:p w14:paraId="1528681B"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4A2E9C7D"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79364897"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397" w:type="pct"/>
          </w:tcPr>
          <w:p w14:paraId="328BB940"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519" w:type="pct"/>
            <w:tcBorders>
              <w:right w:val="double" w:sz="4" w:space="0" w:color="auto"/>
            </w:tcBorders>
          </w:tcPr>
          <w:p w14:paraId="354E9169"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1267A2B2" w14:textId="77777777" w:rsidTr="00764C61">
        <w:trPr>
          <w:trHeight w:val="897"/>
          <w:jc w:val="center"/>
        </w:trPr>
        <w:tc>
          <w:tcPr>
            <w:tcW w:w="671" w:type="pct"/>
            <w:vMerge/>
            <w:tcBorders>
              <w:left w:val="double" w:sz="4" w:space="0" w:color="auto"/>
            </w:tcBorders>
          </w:tcPr>
          <w:p w14:paraId="3B72C61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3D26FA1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5.1.1.2</w:t>
            </w:r>
            <w:r>
              <w:rPr>
                <w:rFonts w:ascii="Garamond" w:hAnsi="Garamond"/>
                <w:sz w:val="20"/>
                <w:szCs w:val="20"/>
                <w:lang w:val="sq-AL"/>
              </w:rPr>
              <w:t xml:space="preserve"> (*)</w:t>
            </w:r>
            <w:r w:rsidRPr="00327310">
              <w:rPr>
                <w:rFonts w:ascii="Garamond" w:hAnsi="Garamond"/>
                <w:bCs/>
                <w:sz w:val="20"/>
                <w:szCs w:val="20"/>
                <w:lang w:val="sq-AL"/>
              </w:rPr>
              <w:t xml:space="preserve"> </w:t>
            </w:r>
            <w:r w:rsidRPr="00327310">
              <w:rPr>
                <w:rFonts w:ascii="Garamond" w:hAnsi="Garamond"/>
                <w:sz w:val="20"/>
                <w:szCs w:val="20"/>
                <w:lang w:val="sq-AL"/>
              </w:rPr>
              <w:t xml:space="preserve">Çdo </w:t>
            </w:r>
            <w:r w:rsidRPr="00327310">
              <w:rPr>
                <w:rFonts w:ascii="Garamond" w:hAnsi="Garamond"/>
                <w:bCs/>
                <w:sz w:val="20"/>
                <w:szCs w:val="20"/>
                <w:lang w:val="sq-AL"/>
              </w:rPr>
              <w:t xml:space="preserve">mësimdhënës, ekspertë i VNJI-së, </w:t>
            </w:r>
            <w:r w:rsidRPr="00327310">
              <w:rPr>
                <w:rFonts w:ascii="Garamond" w:hAnsi="Garamond"/>
                <w:sz w:val="20"/>
                <w:szCs w:val="20"/>
                <w:lang w:val="sq-AL"/>
              </w:rPr>
              <w:t>mban një plan individual për monitorim dhe vlerësim, i cili përmban, të paktën, të dhëna për frekuentimin, ecurinë dhe rezultatet e çdo nxënësi/kursanti/individi, si dhe masat e përmirësimit sipas nevojës.</w:t>
            </w:r>
          </w:p>
        </w:tc>
        <w:tc>
          <w:tcPr>
            <w:tcW w:w="488" w:type="pct"/>
          </w:tcPr>
          <w:p w14:paraId="1B54F6A3"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88" w:type="pct"/>
          </w:tcPr>
          <w:p w14:paraId="25867A1F"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3307C5DD"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397" w:type="pct"/>
          </w:tcPr>
          <w:p w14:paraId="4C3E7784"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137BE0B1"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18FB9F92" w14:textId="77777777" w:rsidTr="00764C61">
        <w:trPr>
          <w:trHeight w:val="458"/>
          <w:jc w:val="center"/>
        </w:trPr>
        <w:tc>
          <w:tcPr>
            <w:tcW w:w="671" w:type="pct"/>
            <w:vMerge/>
            <w:tcBorders>
              <w:left w:val="double" w:sz="4" w:space="0" w:color="auto"/>
            </w:tcBorders>
          </w:tcPr>
          <w:p w14:paraId="2CD9499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26E86E1C"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 xml:space="preserve">5. </w:t>
            </w:r>
            <w:r w:rsidRPr="00327310">
              <w:rPr>
                <w:rFonts w:ascii="Garamond" w:hAnsi="Garamond"/>
                <w:bCs/>
                <w:sz w:val="20"/>
                <w:szCs w:val="20"/>
                <w:lang w:val="sq-AL"/>
              </w:rPr>
              <w:t>1.1.3</w:t>
            </w:r>
            <w:r>
              <w:rPr>
                <w:rFonts w:ascii="Garamond" w:hAnsi="Garamond"/>
                <w:bCs/>
                <w:sz w:val="20"/>
                <w:szCs w:val="20"/>
                <w:lang w:val="sq-AL"/>
              </w:rPr>
              <w:t xml:space="preserve"> (*)</w:t>
            </w:r>
            <w:r w:rsidRPr="00327310">
              <w:rPr>
                <w:rFonts w:ascii="Garamond" w:hAnsi="Garamond"/>
                <w:bCs/>
                <w:sz w:val="20"/>
                <w:szCs w:val="20"/>
                <w:lang w:val="sq-AL"/>
              </w:rPr>
              <w:t xml:space="preserve"> Metodat dhe instrumentet e vlerësimit përfshijnë të gjitha rezultatet e të nxënit, të përcaktuara në njësitë mësimore/standardet e kualifikimit profesional, përfshirë praktikën profesionale, sipas përshkruesve të nivelit përkatës në KSHK, </w:t>
            </w:r>
          </w:p>
        </w:tc>
        <w:tc>
          <w:tcPr>
            <w:tcW w:w="488" w:type="pct"/>
          </w:tcPr>
          <w:p w14:paraId="3DD4FC9E"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2EEC0813"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2FFE901A"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397" w:type="pct"/>
          </w:tcPr>
          <w:p w14:paraId="53EB0F0F" w14:textId="77777777" w:rsidR="008412F5" w:rsidRPr="00327310" w:rsidRDefault="008412F5" w:rsidP="00764C61">
            <w:pPr>
              <w:pStyle w:val="ListParagraph"/>
              <w:spacing w:after="0" w:line="240" w:lineRule="auto"/>
              <w:ind w:left="0"/>
              <w:rPr>
                <w:rFonts w:ascii="Garamond" w:hAnsi="Garamond"/>
                <w:sz w:val="20"/>
                <w:szCs w:val="20"/>
                <w:lang w:val="sq-AL"/>
              </w:rPr>
            </w:pPr>
          </w:p>
          <w:p w14:paraId="7BAD9593"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519" w:type="pct"/>
            <w:tcBorders>
              <w:right w:val="double" w:sz="4" w:space="0" w:color="auto"/>
            </w:tcBorders>
          </w:tcPr>
          <w:p w14:paraId="4D503485"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20F95E3B" w14:textId="77777777" w:rsidTr="00764C61">
        <w:trPr>
          <w:trHeight w:val="440"/>
          <w:jc w:val="center"/>
        </w:trPr>
        <w:tc>
          <w:tcPr>
            <w:tcW w:w="671" w:type="pct"/>
            <w:vMerge/>
            <w:tcBorders>
              <w:left w:val="double" w:sz="4" w:space="0" w:color="auto"/>
            </w:tcBorders>
          </w:tcPr>
          <w:p w14:paraId="082561E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1D2AC2A7"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 xml:space="preserve">5. </w:t>
            </w:r>
            <w:r w:rsidRPr="00327310">
              <w:rPr>
                <w:rFonts w:ascii="Garamond" w:hAnsi="Garamond"/>
                <w:bCs/>
                <w:sz w:val="20"/>
                <w:szCs w:val="20"/>
                <w:lang w:val="sq-AL"/>
              </w:rPr>
              <w:t>1.1.4</w:t>
            </w:r>
            <w:r>
              <w:rPr>
                <w:rFonts w:ascii="Garamond" w:hAnsi="Garamond"/>
                <w:bCs/>
                <w:sz w:val="20"/>
                <w:szCs w:val="20"/>
                <w:lang w:val="sq-AL"/>
              </w:rPr>
              <w:t xml:space="preserve"> (*)</w:t>
            </w:r>
            <w:r w:rsidRPr="00327310">
              <w:rPr>
                <w:rFonts w:ascii="Garamond" w:hAnsi="Garamond"/>
                <w:bCs/>
                <w:sz w:val="20"/>
                <w:szCs w:val="20"/>
                <w:lang w:val="sq-AL"/>
              </w:rPr>
              <w:t xml:space="preserve"> Mësimdhënësit, ekspertët e VNJI-së dokumentojnë aktivitetet dhe rezultatet e vlerësimit të vazhduar </w:t>
            </w:r>
            <w:r w:rsidRPr="00327310">
              <w:rPr>
                <w:rFonts w:ascii="Garamond" w:hAnsi="Garamond"/>
                <w:sz w:val="20"/>
                <w:szCs w:val="20"/>
                <w:lang w:val="sq-AL"/>
              </w:rPr>
              <w:t>duke përdorur edhe vlerësimin individual dhe të njeri tjetrit</w:t>
            </w:r>
            <w:r w:rsidRPr="00327310">
              <w:rPr>
                <w:rFonts w:ascii="Garamond" w:hAnsi="Garamond"/>
                <w:bCs/>
                <w:sz w:val="20"/>
                <w:szCs w:val="20"/>
                <w:lang w:val="sq-AL"/>
              </w:rPr>
              <w:t>.</w:t>
            </w:r>
          </w:p>
        </w:tc>
        <w:tc>
          <w:tcPr>
            <w:tcW w:w="488" w:type="pct"/>
          </w:tcPr>
          <w:p w14:paraId="0C7A3652"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88" w:type="pct"/>
          </w:tcPr>
          <w:p w14:paraId="47829D5D"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78DBCDC0"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397" w:type="pct"/>
          </w:tcPr>
          <w:p w14:paraId="23713E3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p w14:paraId="4A6C29AE"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519" w:type="pct"/>
            <w:tcBorders>
              <w:right w:val="double" w:sz="4" w:space="0" w:color="auto"/>
            </w:tcBorders>
          </w:tcPr>
          <w:p w14:paraId="3287DB6B"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76C97472" w14:textId="77777777" w:rsidTr="00764C61">
        <w:trPr>
          <w:jc w:val="center"/>
        </w:trPr>
        <w:tc>
          <w:tcPr>
            <w:tcW w:w="671" w:type="pct"/>
            <w:vMerge/>
            <w:tcBorders>
              <w:left w:val="double" w:sz="4" w:space="0" w:color="auto"/>
            </w:tcBorders>
          </w:tcPr>
          <w:p w14:paraId="19A0C66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47E8A733"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5.</w:t>
            </w:r>
            <w:r w:rsidRPr="00327310">
              <w:rPr>
                <w:rFonts w:ascii="Garamond" w:hAnsi="Garamond"/>
                <w:bCs/>
                <w:sz w:val="20"/>
                <w:szCs w:val="20"/>
                <w:lang w:val="sq-AL"/>
              </w:rPr>
              <w:t>1.1.5 Metodat dhe instrumentet për vlerësimin e vazhduar (përmbledhës) të rezultateve të të nxënit, përdoren nga mësimdhënësit në mënyrë të përshtatshme në fund të çdo njësie kurrikulare (lëndë ose modul, njësitë e të nxënit, portofoli i aftësive) për të gjitha llojet e kualifikimeve të AFP-së.</w:t>
            </w:r>
          </w:p>
        </w:tc>
        <w:tc>
          <w:tcPr>
            <w:tcW w:w="488" w:type="pct"/>
          </w:tcPr>
          <w:p w14:paraId="43632F70"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88" w:type="pct"/>
          </w:tcPr>
          <w:p w14:paraId="4F1FA258"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0BA3EED3"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397" w:type="pct"/>
          </w:tcPr>
          <w:p w14:paraId="2B0DDADD"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519" w:type="pct"/>
            <w:tcBorders>
              <w:right w:val="double" w:sz="4" w:space="0" w:color="auto"/>
            </w:tcBorders>
          </w:tcPr>
          <w:p w14:paraId="4D920B54"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53B61E28" w14:textId="77777777" w:rsidTr="00764C61">
        <w:trPr>
          <w:jc w:val="center"/>
        </w:trPr>
        <w:tc>
          <w:tcPr>
            <w:tcW w:w="671" w:type="pct"/>
            <w:vMerge/>
            <w:tcBorders>
              <w:left w:val="double" w:sz="4" w:space="0" w:color="auto"/>
            </w:tcBorders>
          </w:tcPr>
          <w:p w14:paraId="29853EF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77CC4B09"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5.</w:t>
            </w:r>
            <w:r w:rsidRPr="00327310">
              <w:rPr>
                <w:rFonts w:ascii="Garamond" w:hAnsi="Garamond"/>
                <w:bCs/>
                <w:sz w:val="20"/>
                <w:szCs w:val="20"/>
                <w:lang w:val="sq-AL"/>
              </w:rPr>
              <w:t>1.1.6</w:t>
            </w:r>
            <w:r>
              <w:rPr>
                <w:rFonts w:ascii="Garamond" w:hAnsi="Garamond"/>
                <w:bCs/>
                <w:sz w:val="20"/>
                <w:szCs w:val="20"/>
                <w:lang w:val="sq-AL"/>
              </w:rPr>
              <w:t xml:space="preserve"> (*)</w:t>
            </w:r>
            <w:r w:rsidRPr="00327310">
              <w:rPr>
                <w:rFonts w:ascii="Garamond" w:hAnsi="Garamond"/>
                <w:bCs/>
                <w:sz w:val="20"/>
                <w:szCs w:val="20"/>
                <w:lang w:val="sq-AL"/>
              </w:rPr>
              <w:t xml:space="preserve"> Mësimdhënësit, ekspertët e VNJI-së dokumentojnë veprimtaritë dhe rezultatet e vlerësimit të vazhduar (përmbledhës), në përputhje me legjislacionin në fuqi, për të gjitha llojet e kualifikimeve të AFP-së. </w:t>
            </w:r>
          </w:p>
        </w:tc>
        <w:tc>
          <w:tcPr>
            <w:tcW w:w="488" w:type="pct"/>
          </w:tcPr>
          <w:p w14:paraId="73678DE7"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88" w:type="pct"/>
          </w:tcPr>
          <w:p w14:paraId="66BBDE03"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5041061C"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397" w:type="pct"/>
          </w:tcPr>
          <w:p w14:paraId="69944506"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7828E3BF"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76C40AF8" w14:textId="77777777" w:rsidTr="00764C61">
        <w:trPr>
          <w:jc w:val="center"/>
        </w:trPr>
        <w:tc>
          <w:tcPr>
            <w:tcW w:w="671" w:type="pct"/>
            <w:vMerge/>
            <w:tcBorders>
              <w:left w:val="double" w:sz="4" w:space="0" w:color="auto"/>
            </w:tcBorders>
          </w:tcPr>
          <w:p w14:paraId="0CAFC378"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4DEA8B64"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 xml:space="preserve">5.1.1.7 Vlerësimi përfundimtar planifikohet në mënyrë të koordinuar me qëllim shmangien e mbivendosjeve, mangësive dhe mbingarkesën e nxënësve/kursantëve/individëve. </w:t>
            </w:r>
          </w:p>
        </w:tc>
        <w:tc>
          <w:tcPr>
            <w:tcW w:w="488" w:type="pct"/>
          </w:tcPr>
          <w:p w14:paraId="39F24908"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88" w:type="pct"/>
          </w:tcPr>
          <w:p w14:paraId="1EE8793F"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57802859"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397" w:type="pct"/>
          </w:tcPr>
          <w:p w14:paraId="6A98BC97"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519" w:type="pct"/>
            <w:tcBorders>
              <w:right w:val="double" w:sz="4" w:space="0" w:color="auto"/>
            </w:tcBorders>
          </w:tcPr>
          <w:p w14:paraId="0087DA08"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689E742F" w14:textId="77777777" w:rsidTr="00764C61">
        <w:trPr>
          <w:trHeight w:val="404"/>
          <w:jc w:val="center"/>
        </w:trPr>
        <w:tc>
          <w:tcPr>
            <w:tcW w:w="671" w:type="pct"/>
            <w:vMerge/>
            <w:tcBorders>
              <w:left w:val="double" w:sz="4" w:space="0" w:color="auto"/>
            </w:tcBorders>
          </w:tcPr>
          <w:p w14:paraId="59E5B06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5BAE0D01"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5.1.1.8 Mësimdhënësit, ekspertët e VNJI-së u japin nxënësve/</w:t>
            </w:r>
            <w:r>
              <w:rPr>
                <w:rFonts w:ascii="Garamond" w:hAnsi="Garamond"/>
                <w:sz w:val="20"/>
                <w:szCs w:val="20"/>
                <w:lang w:val="sq-AL"/>
              </w:rPr>
              <w:t xml:space="preserve"> </w:t>
            </w:r>
            <w:r w:rsidRPr="00327310">
              <w:rPr>
                <w:rFonts w:ascii="Garamond" w:hAnsi="Garamond"/>
                <w:sz w:val="20"/>
                <w:szCs w:val="20"/>
                <w:lang w:val="sq-AL"/>
              </w:rPr>
              <w:t>kursantëve/individëve, përgjigje dhe sugjerime konstruktive mbi rezultatet e vlerësimit të vazhduar (përmbledhës) dhe fushat e përmirësimit të vazhdueshëm të procesit të të nxënit.</w:t>
            </w:r>
          </w:p>
        </w:tc>
        <w:tc>
          <w:tcPr>
            <w:tcW w:w="488" w:type="pct"/>
          </w:tcPr>
          <w:p w14:paraId="3F35BD2D"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488" w:type="pct"/>
          </w:tcPr>
          <w:p w14:paraId="0BA72AB6"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488" w:type="pct"/>
          </w:tcPr>
          <w:p w14:paraId="271E46E9"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397" w:type="pct"/>
          </w:tcPr>
          <w:p w14:paraId="4F93145D"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588104B5"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r>
      <w:tr w:rsidR="008412F5" w:rsidRPr="00327310" w14:paraId="47ECEF3A" w14:textId="77777777" w:rsidTr="00764C61">
        <w:trPr>
          <w:jc w:val="center"/>
        </w:trPr>
        <w:tc>
          <w:tcPr>
            <w:tcW w:w="671" w:type="pct"/>
            <w:vMerge w:val="restart"/>
            <w:tcBorders>
              <w:left w:val="double" w:sz="4" w:space="0" w:color="auto"/>
            </w:tcBorders>
          </w:tcPr>
          <w:p w14:paraId="21DC268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5.1.2 Planifikimi dhe zbatimi i provimeve përfundimtare</w:t>
            </w:r>
          </w:p>
        </w:tc>
        <w:tc>
          <w:tcPr>
            <w:tcW w:w="1948" w:type="pct"/>
          </w:tcPr>
          <w:p w14:paraId="15BE3799"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 xml:space="preserve">5. </w:t>
            </w:r>
            <w:r w:rsidRPr="00327310">
              <w:rPr>
                <w:rFonts w:ascii="Garamond" w:hAnsi="Garamond"/>
                <w:bCs/>
                <w:sz w:val="20"/>
                <w:szCs w:val="20"/>
                <w:lang w:val="sq-AL"/>
              </w:rPr>
              <w:t>1.2.1</w:t>
            </w:r>
            <w:r>
              <w:rPr>
                <w:rFonts w:ascii="Garamond" w:hAnsi="Garamond"/>
                <w:bCs/>
                <w:sz w:val="20"/>
                <w:szCs w:val="20"/>
                <w:lang w:val="sq-AL"/>
              </w:rPr>
              <w:t xml:space="preserve"> (*)</w:t>
            </w:r>
            <w:r w:rsidRPr="00327310">
              <w:rPr>
                <w:rFonts w:ascii="Garamond" w:hAnsi="Garamond"/>
                <w:bCs/>
                <w:sz w:val="20"/>
                <w:szCs w:val="20"/>
                <w:lang w:val="sq-AL"/>
              </w:rPr>
              <w:t xml:space="preserve"> Provimet përfundimtare për kualifikimet profesionale të </w:t>
            </w:r>
            <w:r>
              <w:rPr>
                <w:rFonts w:ascii="Garamond" w:hAnsi="Garamond"/>
                <w:bCs/>
                <w:sz w:val="20"/>
                <w:szCs w:val="20"/>
                <w:lang w:val="sq-AL"/>
              </w:rPr>
              <w:t>niveleve 2–5</w:t>
            </w:r>
            <w:r w:rsidRPr="00327310">
              <w:rPr>
                <w:rFonts w:ascii="Garamond" w:hAnsi="Garamond"/>
                <w:bCs/>
                <w:sz w:val="20"/>
                <w:szCs w:val="20"/>
                <w:lang w:val="sq-AL"/>
              </w:rPr>
              <w:t xml:space="preserve"> të KSHK-së planifikohen, organizohen dhe zbatohen në përputhje me legjislacionin në fuqi, për të gjitha llojet e kualifikimeve të AFP-së.</w:t>
            </w:r>
          </w:p>
        </w:tc>
        <w:tc>
          <w:tcPr>
            <w:tcW w:w="488" w:type="pct"/>
          </w:tcPr>
          <w:p w14:paraId="3D67B16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4E0DF843"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08FA0A7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7B7149A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4424841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EDF1B8B" w14:textId="77777777" w:rsidTr="00764C61">
        <w:trPr>
          <w:jc w:val="center"/>
        </w:trPr>
        <w:tc>
          <w:tcPr>
            <w:tcW w:w="671" w:type="pct"/>
            <w:vMerge/>
            <w:tcBorders>
              <w:left w:val="double" w:sz="4" w:space="0" w:color="auto"/>
            </w:tcBorders>
          </w:tcPr>
          <w:p w14:paraId="67A261B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5B8C1EB8"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5.</w:t>
            </w:r>
            <w:r w:rsidRPr="00327310">
              <w:rPr>
                <w:rFonts w:ascii="Garamond" w:hAnsi="Garamond"/>
                <w:bCs/>
                <w:sz w:val="20"/>
                <w:szCs w:val="20"/>
                <w:lang w:val="sq-AL"/>
              </w:rPr>
              <w:t>1.2.2</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garanton të gjithë infrastrukturën, kushtet, burimet dhe sigurinë e parashikuar me ligj për zhvillimin e provimeve përfundimtare.</w:t>
            </w:r>
          </w:p>
        </w:tc>
        <w:tc>
          <w:tcPr>
            <w:tcW w:w="488" w:type="pct"/>
          </w:tcPr>
          <w:p w14:paraId="2983663E"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30F6137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6B56A0B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756155F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322ACBF4"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0AA8C41" w14:textId="77777777" w:rsidTr="00764C61">
        <w:trPr>
          <w:jc w:val="center"/>
        </w:trPr>
        <w:tc>
          <w:tcPr>
            <w:tcW w:w="671" w:type="pct"/>
            <w:vMerge/>
            <w:tcBorders>
              <w:left w:val="double" w:sz="4" w:space="0" w:color="auto"/>
            </w:tcBorders>
          </w:tcPr>
          <w:p w14:paraId="40307D69"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1F47FDC9"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5.</w:t>
            </w:r>
            <w:r w:rsidRPr="00327310">
              <w:rPr>
                <w:rFonts w:ascii="Garamond" w:hAnsi="Garamond"/>
                <w:bCs/>
                <w:sz w:val="20"/>
                <w:szCs w:val="20"/>
                <w:lang w:val="sq-AL"/>
              </w:rPr>
              <w:t>1.2.3</w:t>
            </w:r>
            <w:r>
              <w:rPr>
                <w:rFonts w:ascii="Garamond" w:hAnsi="Garamond"/>
                <w:bCs/>
                <w:sz w:val="20"/>
                <w:szCs w:val="20"/>
                <w:lang w:val="sq-AL"/>
              </w:rPr>
              <w:t xml:space="preserve"> (*)</w:t>
            </w:r>
            <w:r w:rsidRPr="00327310">
              <w:rPr>
                <w:rFonts w:ascii="Garamond" w:hAnsi="Garamond"/>
                <w:bCs/>
                <w:sz w:val="20"/>
                <w:szCs w:val="20"/>
                <w:lang w:val="sq-AL"/>
              </w:rPr>
              <w:t xml:space="preserve"> Drejtoria e ofruesit të AFP-së garanton regjistrimin e të dhënave dhe rezultateve të provimeve përfundimtare dhe zbaton procedurat e raportimit, të përcaktuara me ligj, për të gjitha llojet e kualifikimeve profesionale të AFP-së.</w:t>
            </w:r>
          </w:p>
        </w:tc>
        <w:tc>
          <w:tcPr>
            <w:tcW w:w="488" w:type="pct"/>
          </w:tcPr>
          <w:p w14:paraId="27DFDD4A"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52392E7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76B91346"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3525688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7727E5DF"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45C447E2" w14:textId="77777777" w:rsidTr="00764C61">
        <w:trPr>
          <w:trHeight w:val="674"/>
          <w:jc w:val="center"/>
        </w:trPr>
        <w:tc>
          <w:tcPr>
            <w:tcW w:w="671" w:type="pct"/>
            <w:vMerge w:val="restart"/>
            <w:tcBorders>
              <w:left w:val="double" w:sz="4" w:space="0" w:color="auto"/>
            </w:tcBorders>
          </w:tcPr>
          <w:p w14:paraId="39D3775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5.1.3</w:t>
            </w:r>
            <w:r>
              <w:rPr>
                <w:rFonts w:ascii="Garamond" w:hAnsi="Garamond"/>
                <w:sz w:val="20"/>
                <w:szCs w:val="20"/>
                <w:lang w:val="sq-AL"/>
              </w:rPr>
              <w:t xml:space="preserve"> </w:t>
            </w:r>
            <w:r w:rsidRPr="00327310">
              <w:rPr>
                <w:rFonts w:ascii="Garamond" w:hAnsi="Garamond"/>
                <w:sz w:val="20"/>
                <w:szCs w:val="20"/>
                <w:lang w:val="sq-AL"/>
              </w:rPr>
              <w:t xml:space="preserve">Informimi i grupeve të interesit, për metodologjinë dhe rezultatet e procesit të vlerësimit </w:t>
            </w:r>
          </w:p>
        </w:tc>
        <w:tc>
          <w:tcPr>
            <w:tcW w:w="1948" w:type="pct"/>
          </w:tcPr>
          <w:p w14:paraId="00967417"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5.</w:t>
            </w:r>
            <w:r w:rsidRPr="00327310">
              <w:rPr>
                <w:rFonts w:ascii="Garamond" w:hAnsi="Garamond"/>
                <w:bCs/>
                <w:sz w:val="20"/>
                <w:szCs w:val="20"/>
                <w:lang w:val="sq-AL"/>
              </w:rPr>
              <w:t>1.3.1 Nxënësit/kursantët/individët (dhe, sipas rastit, prindërit/</w:t>
            </w:r>
            <w:r>
              <w:rPr>
                <w:rFonts w:ascii="Garamond" w:hAnsi="Garamond"/>
                <w:bCs/>
                <w:sz w:val="20"/>
                <w:szCs w:val="20"/>
                <w:lang w:val="sq-AL"/>
              </w:rPr>
              <w:t xml:space="preserve"> </w:t>
            </w:r>
            <w:r w:rsidRPr="00327310">
              <w:rPr>
                <w:rFonts w:ascii="Garamond" w:hAnsi="Garamond"/>
                <w:bCs/>
                <w:sz w:val="20"/>
                <w:szCs w:val="20"/>
                <w:lang w:val="sq-AL"/>
              </w:rPr>
              <w:t>kujdestari ligjor) informohen për kriteret, metodat, instrumentet dhe afatet kohore për vlerësimin e vazhduar dhe përfundimtar në të gjitha llojet e kualifikimeve të AFP-së.</w:t>
            </w:r>
          </w:p>
        </w:tc>
        <w:tc>
          <w:tcPr>
            <w:tcW w:w="488" w:type="pct"/>
          </w:tcPr>
          <w:p w14:paraId="26F05945"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6D9D676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4A950717"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523DDAC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29FF64A1"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BE204D8" w14:textId="77777777" w:rsidTr="00764C61">
        <w:trPr>
          <w:jc w:val="center"/>
        </w:trPr>
        <w:tc>
          <w:tcPr>
            <w:tcW w:w="671" w:type="pct"/>
            <w:vMerge/>
            <w:tcBorders>
              <w:left w:val="double" w:sz="4" w:space="0" w:color="auto"/>
            </w:tcBorders>
          </w:tcPr>
          <w:p w14:paraId="16068950"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13CE7E3C"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5.</w:t>
            </w:r>
            <w:r w:rsidRPr="00327310">
              <w:rPr>
                <w:rFonts w:ascii="Garamond" w:hAnsi="Garamond"/>
                <w:bCs/>
                <w:sz w:val="20"/>
                <w:szCs w:val="20"/>
                <w:lang w:val="sq-AL"/>
              </w:rPr>
              <w:t>1.3.2 Nxënësit/kursantët/individët (dhe, sipas rastit, prindërit/</w:t>
            </w:r>
            <w:r>
              <w:rPr>
                <w:rFonts w:ascii="Garamond" w:hAnsi="Garamond"/>
                <w:bCs/>
                <w:sz w:val="20"/>
                <w:szCs w:val="20"/>
                <w:lang w:val="sq-AL"/>
              </w:rPr>
              <w:t xml:space="preserve"> </w:t>
            </w:r>
            <w:r w:rsidRPr="00327310">
              <w:rPr>
                <w:rFonts w:ascii="Garamond" w:hAnsi="Garamond"/>
                <w:bCs/>
                <w:sz w:val="20"/>
                <w:szCs w:val="20"/>
                <w:lang w:val="sq-AL"/>
              </w:rPr>
              <w:t>kujdestari ligjor) informohen për rezultatet e vlerësimit të vazhduar dhe përfundimtar.</w:t>
            </w:r>
          </w:p>
        </w:tc>
        <w:tc>
          <w:tcPr>
            <w:tcW w:w="488" w:type="pct"/>
          </w:tcPr>
          <w:p w14:paraId="73CD71CD"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2B93B38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5C5BAEE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4451410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7C38D8CC"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218C24CE" w14:textId="77777777" w:rsidTr="00764C61">
        <w:trPr>
          <w:jc w:val="center"/>
        </w:trPr>
        <w:tc>
          <w:tcPr>
            <w:tcW w:w="671" w:type="pct"/>
            <w:vMerge w:val="restart"/>
            <w:tcBorders>
              <w:left w:val="double" w:sz="4" w:space="0" w:color="auto"/>
            </w:tcBorders>
          </w:tcPr>
          <w:p w14:paraId="18E09A54"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5.1.4 Përfshirja e punëdhënësve dhe e biznesit në procesin e vlerësimit.</w:t>
            </w:r>
          </w:p>
        </w:tc>
        <w:tc>
          <w:tcPr>
            <w:tcW w:w="1948" w:type="pct"/>
          </w:tcPr>
          <w:p w14:paraId="7B8D4368"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5.</w:t>
            </w:r>
            <w:r w:rsidRPr="00327310">
              <w:rPr>
                <w:rFonts w:ascii="Garamond" w:hAnsi="Garamond"/>
                <w:bCs/>
                <w:sz w:val="20"/>
                <w:szCs w:val="20"/>
                <w:lang w:val="sq-AL"/>
              </w:rPr>
              <w:t>1.4.1 Përfaqësuesit e punëdhënësve konsultohen për hartimin e metodologjive dhe të instrumenteve të vlerësimit, kryesisht për vlerësimin e rezultateve të të nxënit me bazë punën, sipas kuadrit ligjor në fuqi.</w:t>
            </w:r>
          </w:p>
        </w:tc>
        <w:tc>
          <w:tcPr>
            <w:tcW w:w="488" w:type="pct"/>
          </w:tcPr>
          <w:p w14:paraId="755FE424"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7AC0208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37ADBB95"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1F020E6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2CF080DB"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C57215D" w14:textId="77777777" w:rsidTr="00764C61">
        <w:trPr>
          <w:jc w:val="center"/>
        </w:trPr>
        <w:tc>
          <w:tcPr>
            <w:tcW w:w="671" w:type="pct"/>
            <w:vMerge/>
            <w:tcBorders>
              <w:left w:val="double" w:sz="4" w:space="0" w:color="auto"/>
            </w:tcBorders>
          </w:tcPr>
          <w:p w14:paraId="186CC51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1FD28795"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5.</w:t>
            </w:r>
            <w:r w:rsidRPr="00327310">
              <w:rPr>
                <w:rFonts w:ascii="Garamond" w:hAnsi="Garamond"/>
                <w:bCs/>
                <w:sz w:val="20"/>
                <w:szCs w:val="20"/>
                <w:lang w:val="sq-AL"/>
              </w:rPr>
              <w:t>1.4.2 Përfaqësues të punëdhënësve dhe sektorëve përkatës të biznesit marrin pjesë në provimet/komisionet e vlerësimit sipas kuadrit ligjor, për të gjitha llojet e kualifikimeve të AFP-së.</w:t>
            </w:r>
          </w:p>
        </w:tc>
        <w:tc>
          <w:tcPr>
            <w:tcW w:w="488" w:type="pct"/>
          </w:tcPr>
          <w:p w14:paraId="6AA832B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51AFBE80"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5E2C0AAB"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5AA2179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1770C58B"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C191A60" w14:textId="77777777" w:rsidTr="00764C61">
        <w:trPr>
          <w:trHeight w:val="449"/>
          <w:jc w:val="center"/>
        </w:trPr>
        <w:tc>
          <w:tcPr>
            <w:tcW w:w="671" w:type="pct"/>
            <w:vMerge/>
            <w:tcBorders>
              <w:left w:val="double" w:sz="4" w:space="0" w:color="auto"/>
            </w:tcBorders>
          </w:tcPr>
          <w:p w14:paraId="15A7CBA6"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613C5121"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5.1.4.3 Punëdhënësit dhe përfaqësuesit e biznesit informohen për rezultatet e vlerësimit përfundimtar.</w:t>
            </w:r>
          </w:p>
        </w:tc>
        <w:tc>
          <w:tcPr>
            <w:tcW w:w="488" w:type="pct"/>
          </w:tcPr>
          <w:p w14:paraId="6201572C"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687A1A4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2F50350C"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330FD9D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0225B839"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51B987E3" w14:textId="77777777" w:rsidTr="00764C61">
        <w:trPr>
          <w:trHeight w:val="449"/>
          <w:jc w:val="center"/>
        </w:trPr>
        <w:tc>
          <w:tcPr>
            <w:tcW w:w="671" w:type="pct"/>
            <w:vMerge/>
            <w:tcBorders>
              <w:left w:val="double" w:sz="4" w:space="0" w:color="auto"/>
            </w:tcBorders>
          </w:tcPr>
          <w:p w14:paraId="6A15D38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1948" w:type="pct"/>
          </w:tcPr>
          <w:p w14:paraId="625FEBBB" w14:textId="77777777" w:rsidR="008412F5" w:rsidRPr="00327310" w:rsidDel="00B1474D"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5.1.4.4 Drejtoria e ofruesit të AFP-së vlerëson rregullisht se sa të kënaqur janë përfaqësuesit e biznesit me rezultatet dhe rëndësinë e vlerësimit të nxënësve, në të gjitha llojet e kualifikimeve të AFP-së.</w:t>
            </w:r>
          </w:p>
        </w:tc>
        <w:tc>
          <w:tcPr>
            <w:tcW w:w="488" w:type="pct"/>
          </w:tcPr>
          <w:p w14:paraId="14E3460B"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6E02D70E"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7E0123B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0CC4894A"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6AD392F4"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6DD96514" w14:textId="77777777" w:rsidTr="00764C61">
        <w:trPr>
          <w:jc w:val="center"/>
        </w:trPr>
        <w:tc>
          <w:tcPr>
            <w:tcW w:w="671" w:type="pct"/>
            <w:vMerge w:val="restart"/>
            <w:tcBorders>
              <w:left w:val="double" w:sz="4" w:space="0" w:color="auto"/>
            </w:tcBorders>
          </w:tcPr>
          <w:p w14:paraId="559EE30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5.1.5 Certifikimi i rezultateve të të nxënit dhe lëshimi i dokumenteve të certifikimit</w:t>
            </w:r>
            <w:r w:rsidRPr="00327310" w:rsidDel="00B64084">
              <w:rPr>
                <w:rFonts w:ascii="Garamond" w:hAnsi="Garamond"/>
                <w:sz w:val="20"/>
                <w:szCs w:val="20"/>
                <w:lang w:val="sq-AL"/>
              </w:rPr>
              <w:t xml:space="preserve"> </w:t>
            </w:r>
          </w:p>
        </w:tc>
        <w:tc>
          <w:tcPr>
            <w:tcW w:w="1948" w:type="pct"/>
          </w:tcPr>
          <w:p w14:paraId="4B77B1DF"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5.</w:t>
            </w:r>
            <w:r w:rsidRPr="00327310">
              <w:rPr>
                <w:rFonts w:ascii="Garamond" w:hAnsi="Garamond"/>
                <w:bCs/>
                <w:sz w:val="20"/>
                <w:szCs w:val="20"/>
                <w:lang w:val="sq-AL"/>
              </w:rPr>
              <w:t>1.5.1</w:t>
            </w:r>
            <w:r>
              <w:rPr>
                <w:rFonts w:ascii="Garamond" w:hAnsi="Garamond"/>
                <w:bCs/>
                <w:sz w:val="20"/>
                <w:szCs w:val="20"/>
                <w:lang w:val="sq-AL"/>
              </w:rPr>
              <w:t xml:space="preserve"> </w:t>
            </w:r>
            <w:r w:rsidRPr="00327310">
              <w:rPr>
                <w:rFonts w:ascii="Garamond" w:hAnsi="Garamond"/>
                <w:bCs/>
                <w:sz w:val="20"/>
                <w:szCs w:val="20"/>
                <w:lang w:val="sq-AL"/>
              </w:rPr>
              <w:t>(*) Drejtoria e ofruesit të AFP-së siguron dokumentet certifikuese, për të gjitha kualifikimet profesionale, sipas niveleve të KSHK-së, në përputhje me legjislacionin në fuqi.</w:t>
            </w:r>
          </w:p>
        </w:tc>
        <w:tc>
          <w:tcPr>
            <w:tcW w:w="488" w:type="pct"/>
          </w:tcPr>
          <w:p w14:paraId="49EF924D"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06CC691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6AE87E6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74454612"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209E240A"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7BBCAC79" w14:textId="77777777" w:rsidTr="00764C61">
        <w:trPr>
          <w:jc w:val="center"/>
        </w:trPr>
        <w:tc>
          <w:tcPr>
            <w:tcW w:w="671" w:type="pct"/>
            <w:vMerge/>
          </w:tcPr>
          <w:p w14:paraId="48079B1D"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1948" w:type="pct"/>
          </w:tcPr>
          <w:p w14:paraId="66D68245" w14:textId="77777777" w:rsidR="008412F5" w:rsidRPr="00327310" w:rsidRDefault="008412F5" w:rsidP="00764C61">
            <w:pPr>
              <w:pStyle w:val="ListParagraph"/>
              <w:spacing w:after="0" w:line="240" w:lineRule="auto"/>
              <w:ind w:left="0"/>
              <w:jc w:val="both"/>
              <w:rPr>
                <w:rFonts w:ascii="Garamond" w:hAnsi="Garamond"/>
                <w:bCs/>
                <w:sz w:val="20"/>
                <w:szCs w:val="20"/>
                <w:lang w:val="sq-AL"/>
              </w:rPr>
            </w:pPr>
            <w:r w:rsidRPr="00327310">
              <w:rPr>
                <w:rFonts w:ascii="Garamond" w:hAnsi="Garamond"/>
                <w:sz w:val="20"/>
                <w:szCs w:val="20"/>
                <w:lang w:val="sq-AL"/>
              </w:rPr>
              <w:t xml:space="preserve">5. </w:t>
            </w:r>
            <w:r w:rsidRPr="00327310">
              <w:rPr>
                <w:rFonts w:ascii="Garamond" w:hAnsi="Garamond"/>
                <w:bCs/>
                <w:sz w:val="20"/>
                <w:szCs w:val="20"/>
                <w:lang w:val="sq-AL"/>
              </w:rPr>
              <w:t>1.5.2</w:t>
            </w:r>
            <w:r>
              <w:rPr>
                <w:rFonts w:ascii="Garamond" w:hAnsi="Garamond"/>
                <w:bCs/>
                <w:sz w:val="20"/>
                <w:szCs w:val="20"/>
                <w:lang w:val="sq-AL"/>
              </w:rPr>
              <w:t xml:space="preserve"> </w:t>
            </w:r>
            <w:r w:rsidRPr="00327310">
              <w:rPr>
                <w:rFonts w:ascii="Garamond" w:hAnsi="Garamond"/>
                <w:bCs/>
                <w:sz w:val="20"/>
                <w:szCs w:val="20"/>
                <w:lang w:val="sq-AL"/>
              </w:rPr>
              <w:t>(*) Drejtoria e ofruesit të AFP-së lëshon dhe shpërndan dokumentet certifikuese, për të gjithë nxënësit/kursantët/individët që përfundojnë kualifikimin profesional ose njësitë mësimore, sipas niveleve të KSHK-së dhe legjislacionit në fuqi.</w:t>
            </w:r>
          </w:p>
        </w:tc>
        <w:tc>
          <w:tcPr>
            <w:tcW w:w="488" w:type="pct"/>
          </w:tcPr>
          <w:p w14:paraId="4E508FFF"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03B0F7F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372484E9"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0F0BA681"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4CFF5DC2" w14:textId="77777777" w:rsidR="008412F5" w:rsidRPr="00327310" w:rsidRDefault="008412F5" w:rsidP="00764C61">
            <w:pPr>
              <w:pStyle w:val="ListParagraph"/>
              <w:spacing w:after="0" w:line="240" w:lineRule="auto"/>
              <w:ind w:left="0"/>
              <w:rPr>
                <w:rFonts w:ascii="Garamond" w:hAnsi="Garamond"/>
                <w:sz w:val="20"/>
                <w:szCs w:val="20"/>
                <w:lang w:val="sq-AL"/>
              </w:rPr>
            </w:pPr>
          </w:p>
        </w:tc>
      </w:tr>
      <w:tr w:rsidR="008412F5" w:rsidRPr="00327310" w14:paraId="160F1818" w14:textId="77777777" w:rsidTr="00764C61">
        <w:trPr>
          <w:jc w:val="center"/>
        </w:trPr>
        <w:tc>
          <w:tcPr>
            <w:tcW w:w="671" w:type="pct"/>
            <w:vMerge/>
          </w:tcPr>
          <w:p w14:paraId="1031855C" w14:textId="77777777" w:rsidR="008412F5" w:rsidRPr="00327310" w:rsidRDefault="008412F5" w:rsidP="00764C61">
            <w:pPr>
              <w:pStyle w:val="ListParagraph"/>
              <w:spacing w:after="0" w:line="240" w:lineRule="auto"/>
              <w:ind w:left="0"/>
              <w:jc w:val="both"/>
              <w:rPr>
                <w:rFonts w:ascii="Garamond" w:hAnsi="Garamond"/>
                <w:sz w:val="20"/>
                <w:szCs w:val="20"/>
                <w:lang w:val="sq-AL"/>
              </w:rPr>
            </w:pPr>
          </w:p>
        </w:tc>
        <w:tc>
          <w:tcPr>
            <w:tcW w:w="1948" w:type="pct"/>
          </w:tcPr>
          <w:p w14:paraId="56D5E75F" w14:textId="77777777" w:rsidR="008412F5" w:rsidRPr="00327310" w:rsidRDefault="008412F5" w:rsidP="00764C61">
            <w:pPr>
              <w:pStyle w:val="ListParagraph"/>
              <w:spacing w:after="0" w:line="240" w:lineRule="auto"/>
              <w:ind w:left="0"/>
              <w:jc w:val="both"/>
              <w:rPr>
                <w:rFonts w:ascii="Garamond" w:hAnsi="Garamond"/>
                <w:sz w:val="20"/>
                <w:szCs w:val="20"/>
                <w:lang w:val="sq-AL"/>
              </w:rPr>
            </w:pPr>
            <w:r w:rsidRPr="00327310">
              <w:rPr>
                <w:rFonts w:ascii="Garamond" w:hAnsi="Garamond"/>
                <w:sz w:val="20"/>
                <w:szCs w:val="20"/>
                <w:lang w:val="sq-AL"/>
              </w:rPr>
              <w:t>5.</w:t>
            </w:r>
            <w:r w:rsidRPr="00327310">
              <w:rPr>
                <w:rFonts w:ascii="Garamond" w:hAnsi="Garamond"/>
                <w:bCs/>
                <w:sz w:val="20"/>
                <w:szCs w:val="20"/>
                <w:lang w:val="sq-AL"/>
              </w:rPr>
              <w:t>1.5.3</w:t>
            </w:r>
            <w:r w:rsidRPr="00327310">
              <w:rPr>
                <w:rFonts w:ascii="Garamond" w:hAnsi="Garamond"/>
                <w:sz w:val="20"/>
                <w:szCs w:val="20"/>
                <w:lang w:val="sq-AL"/>
              </w:rPr>
              <w:t xml:space="preserve"> </w:t>
            </w:r>
            <w:r w:rsidRPr="00327310">
              <w:rPr>
                <w:rFonts w:ascii="Garamond" w:hAnsi="Garamond"/>
                <w:bCs/>
                <w:sz w:val="20"/>
                <w:szCs w:val="20"/>
                <w:lang w:val="sq-AL"/>
              </w:rPr>
              <w:t xml:space="preserve">(*) Drejtoria e ofruesit të AFP-së lëshon suplementin e certifikatës referuar </w:t>
            </w:r>
            <w:r w:rsidRPr="00327310">
              <w:rPr>
                <w:rFonts w:ascii="Garamond" w:hAnsi="Garamond"/>
                <w:bCs/>
                <w:i/>
                <w:iCs/>
                <w:sz w:val="20"/>
                <w:szCs w:val="20"/>
                <w:lang w:val="sq-AL"/>
              </w:rPr>
              <w:t>formatit Europass,</w:t>
            </w:r>
            <w:r w:rsidRPr="00327310">
              <w:rPr>
                <w:rFonts w:ascii="Garamond" w:hAnsi="Garamond"/>
                <w:bCs/>
                <w:sz w:val="20"/>
                <w:szCs w:val="20"/>
                <w:lang w:val="sq-AL"/>
              </w:rPr>
              <w:t xml:space="preserve"> duke specifikuar rezultatet e të nxënit, nivelet e KSHK-së dhe KEK-ut, për të gjitha llojet e kualifikimeve të AFP-së.</w:t>
            </w:r>
          </w:p>
        </w:tc>
        <w:tc>
          <w:tcPr>
            <w:tcW w:w="488" w:type="pct"/>
          </w:tcPr>
          <w:p w14:paraId="671A1641" w14:textId="77777777" w:rsidR="008412F5" w:rsidRPr="00327310" w:rsidRDefault="008412F5" w:rsidP="00764C61">
            <w:pPr>
              <w:pStyle w:val="ListParagraph"/>
              <w:spacing w:after="0" w:line="240" w:lineRule="auto"/>
              <w:ind w:left="0"/>
              <w:rPr>
                <w:rFonts w:ascii="Garamond" w:hAnsi="Garamond"/>
                <w:sz w:val="20"/>
                <w:szCs w:val="20"/>
                <w:lang w:val="sq-AL"/>
              </w:rPr>
            </w:pPr>
          </w:p>
        </w:tc>
        <w:tc>
          <w:tcPr>
            <w:tcW w:w="488" w:type="pct"/>
          </w:tcPr>
          <w:p w14:paraId="6ED4A74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488" w:type="pct"/>
          </w:tcPr>
          <w:p w14:paraId="6F227608"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397" w:type="pct"/>
          </w:tcPr>
          <w:p w14:paraId="1816FAEF" w14:textId="77777777" w:rsidR="008412F5" w:rsidRPr="00327310" w:rsidRDefault="008412F5" w:rsidP="00764C61">
            <w:pPr>
              <w:pStyle w:val="ListParagraph"/>
              <w:spacing w:after="0" w:line="240" w:lineRule="auto"/>
              <w:ind w:left="0"/>
              <w:rPr>
                <w:rFonts w:ascii="Garamond" w:hAnsi="Garamond"/>
                <w:sz w:val="20"/>
                <w:szCs w:val="20"/>
                <w:lang w:val="sq-AL"/>
              </w:rPr>
            </w:pPr>
            <w:r w:rsidRPr="00327310">
              <w:rPr>
                <w:rFonts w:ascii="Garamond" w:hAnsi="Garamond"/>
                <w:sz w:val="20"/>
                <w:szCs w:val="20"/>
                <w:lang w:val="sq-AL"/>
              </w:rPr>
              <w:t>√</w:t>
            </w:r>
          </w:p>
        </w:tc>
        <w:tc>
          <w:tcPr>
            <w:tcW w:w="519" w:type="pct"/>
            <w:tcBorders>
              <w:right w:val="double" w:sz="4" w:space="0" w:color="auto"/>
            </w:tcBorders>
          </w:tcPr>
          <w:p w14:paraId="44A55733" w14:textId="77777777" w:rsidR="008412F5" w:rsidRPr="00327310" w:rsidRDefault="008412F5" w:rsidP="00764C61">
            <w:pPr>
              <w:pStyle w:val="ListParagraph"/>
              <w:spacing w:after="0" w:line="240" w:lineRule="auto"/>
              <w:ind w:left="0"/>
              <w:rPr>
                <w:rFonts w:ascii="Garamond" w:hAnsi="Garamond"/>
                <w:sz w:val="20"/>
                <w:szCs w:val="20"/>
                <w:lang w:val="sq-AL"/>
              </w:rPr>
            </w:pPr>
          </w:p>
        </w:tc>
      </w:tr>
    </w:tbl>
    <w:p w14:paraId="5C1C1F04" w14:textId="77777777" w:rsidR="008412F5" w:rsidRPr="00327310" w:rsidRDefault="008412F5" w:rsidP="008412F5">
      <w:pPr>
        <w:pStyle w:val="ListParagraph"/>
        <w:ind w:firstLine="284"/>
        <w:rPr>
          <w:rFonts w:ascii="Garamond" w:hAnsi="Garamond"/>
          <w:sz w:val="24"/>
          <w:szCs w:val="24"/>
          <w:lang w:val="sq-AL"/>
        </w:rPr>
      </w:pPr>
      <w:r w:rsidRPr="005C61BE">
        <w:rPr>
          <w:rFonts w:ascii="Garamond" w:hAnsi="Garamond"/>
          <w:bCs/>
          <w:i/>
          <w:sz w:val="24"/>
          <w:szCs w:val="24"/>
          <w:lang w:val="sq-AL"/>
        </w:rPr>
        <w:t>Shpjegim.</w:t>
      </w:r>
      <w:r w:rsidRPr="00327310">
        <w:rPr>
          <w:rFonts w:ascii="Garamond" w:hAnsi="Garamond"/>
          <w:b/>
          <w:bCs/>
          <w:sz w:val="24"/>
          <w:szCs w:val="24"/>
          <w:lang w:val="sq-AL"/>
        </w:rPr>
        <w:t xml:space="preserve"> </w:t>
      </w:r>
      <w:r w:rsidRPr="00327310">
        <w:rPr>
          <w:rFonts w:ascii="Garamond" w:hAnsi="Garamond"/>
          <w:sz w:val="24"/>
          <w:szCs w:val="24"/>
          <w:lang w:val="sq-AL"/>
        </w:rPr>
        <w:t>Të gjitha kriteret brenda matricës që përmbajnë shenjën (*) përbri numrit rendor katër-shifror janë kritere bazë.</w:t>
      </w:r>
    </w:p>
    <w:p w14:paraId="64CDD06A" w14:textId="77777777" w:rsidR="004E44AF" w:rsidRDefault="004E44AF"/>
    <w:sectPr w:rsidR="004E44AF" w:rsidSect="008412F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48EF" w14:textId="77777777" w:rsidR="00A33E70" w:rsidRDefault="00A33E70" w:rsidP="008412F5">
      <w:pPr>
        <w:spacing w:after="0" w:line="240" w:lineRule="auto"/>
      </w:pPr>
      <w:r>
        <w:separator/>
      </w:r>
    </w:p>
  </w:endnote>
  <w:endnote w:type="continuationSeparator" w:id="0">
    <w:p w14:paraId="4E7CC0E2" w14:textId="77777777" w:rsidR="00A33E70" w:rsidRDefault="00A33E70" w:rsidP="0084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A39C" w14:textId="77777777" w:rsidR="00A33E70" w:rsidRDefault="00A33E70" w:rsidP="008412F5">
      <w:pPr>
        <w:spacing w:after="0" w:line="240" w:lineRule="auto"/>
      </w:pPr>
      <w:r>
        <w:separator/>
      </w:r>
    </w:p>
  </w:footnote>
  <w:footnote w:type="continuationSeparator" w:id="0">
    <w:p w14:paraId="7EA74329" w14:textId="77777777" w:rsidR="00A33E70" w:rsidRDefault="00A33E70" w:rsidP="008412F5">
      <w:pPr>
        <w:spacing w:after="0" w:line="240" w:lineRule="auto"/>
      </w:pPr>
      <w:r>
        <w:continuationSeparator/>
      </w:r>
    </w:p>
  </w:footnote>
  <w:footnote w:id="1">
    <w:p w14:paraId="3DDED58A" w14:textId="77777777" w:rsidR="008412F5" w:rsidRPr="0045436F" w:rsidRDefault="008412F5" w:rsidP="008412F5">
      <w:pPr>
        <w:pStyle w:val="FootnoteText"/>
        <w:rPr>
          <w:rFonts w:ascii="Garamond" w:hAnsi="Garamond"/>
        </w:rPr>
      </w:pPr>
      <w:r>
        <w:rPr>
          <w:rStyle w:val="FootnoteReference"/>
          <w:rFonts w:ascii="Garamond" w:hAnsi="Garamond"/>
        </w:rPr>
        <w:footnoteRef/>
      </w:r>
      <w:r>
        <w:rPr>
          <w:rFonts w:ascii="Garamond" w:hAnsi="Garamond"/>
        </w:rPr>
        <w:t xml:space="preserve"> SMART = specifikë, të matshëm, të arritshëm, realistë dhe të bazuar në kohë</w:t>
      </w:r>
      <w:r>
        <w:rPr>
          <w:rFonts w:ascii="Garamond" w:hAnsi="Garamond"/>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3F93"/>
    <w:multiLevelType w:val="hybridMultilevel"/>
    <w:tmpl w:val="8E863B4A"/>
    <w:lvl w:ilvl="0" w:tplc="FFFFFFFF">
      <w:start w:val="1"/>
      <w:numFmt w:val="lowerLetter"/>
      <w:lvlText w:val="%1)"/>
      <w:lvlJc w:val="left"/>
      <w:pPr>
        <w:ind w:left="1004" w:hanging="360"/>
      </w:pPr>
    </w:lvl>
    <w:lvl w:ilvl="1" w:tplc="04090017">
      <w:start w:val="1"/>
      <w:numFmt w:val="lowerLetter"/>
      <w:lvlText w:val="%2)"/>
      <w:lvlJc w:val="left"/>
      <w:pPr>
        <w:ind w:left="64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148B5ADE"/>
    <w:multiLevelType w:val="hybridMultilevel"/>
    <w:tmpl w:val="FCF85A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E160F"/>
    <w:multiLevelType w:val="hybridMultilevel"/>
    <w:tmpl w:val="051E9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D8695D"/>
    <w:multiLevelType w:val="hybridMultilevel"/>
    <w:tmpl w:val="817CD534"/>
    <w:lvl w:ilvl="0" w:tplc="0409000F">
      <w:start w:val="1"/>
      <w:numFmt w:val="decimal"/>
      <w:lvlText w:val="%1."/>
      <w:lvlJc w:val="left"/>
      <w:pPr>
        <w:ind w:left="360" w:hanging="360"/>
      </w:pPr>
    </w:lvl>
    <w:lvl w:ilvl="1" w:tplc="8F60F64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4239C8"/>
    <w:multiLevelType w:val="hybridMultilevel"/>
    <w:tmpl w:val="F9D8585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8B45B61"/>
    <w:multiLevelType w:val="hybridMultilevel"/>
    <w:tmpl w:val="38DE1E6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951E4E"/>
    <w:multiLevelType w:val="hybridMultilevel"/>
    <w:tmpl w:val="DB109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547AF"/>
    <w:multiLevelType w:val="hybridMultilevel"/>
    <w:tmpl w:val="FB048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0B2BE7"/>
    <w:multiLevelType w:val="hybridMultilevel"/>
    <w:tmpl w:val="44222CBA"/>
    <w:lvl w:ilvl="0" w:tplc="0409000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9" w15:restartNumberingAfterBreak="0">
    <w:nsid w:val="26147709"/>
    <w:multiLevelType w:val="hybridMultilevel"/>
    <w:tmpl w:val="F30A803C"/>
    <w:lvl w:ilvl="0" w:tplc="0409000F">
      <w:start w:val="1"/>
      <w:numFmt w:val="decimal"/>
      <w:lvlText w:val="%1."/>
      <w:lvlJc w:val="left"/>
      <w:pPr>
        <w:ind w:left="644" w:hanging="360"/>
      </w:pPr>
    </w:lvl>
    <w:lvl w:ilvl="1" w:tplc="FFFFFFFF">
      <w:start w:val="1"/>
      <w:numFmt w:val="decimal"/>
      <w:lvlText w:val="%2."/>
      <w:lvlJc w:val="left"/>
      <w:pPr>
        <w:ind w:left="1904" w:hanging="360"/>
      </w:pPr>
    </w:lvl>
    <w:lvl w:ilvl="2" w:tplc="FFFFFFFF">
      <w:start w:val="1"/>
      <w:numFmt w:val="decimal"/>
      <w:lvlText w:val="%3."/>
      <w:lvlJc w:val="left"/>
      <w:pPr>
        <w:ind w:left="2264" w:hanging="360"/>
      </w:pPr>
      <w:rPr>
        <w:rFonts w:hint="default"/>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8D353D5"/>
    <w:multiLevelType w:val="hybridMultilevel"/>
    <w:tmpl w:val="DE4A48D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0409000F">
      <w:start w:val="1"/>
      <w:numFmt w:val="decimal"/>
      <w:lvlText w:val="%3."/>
      <w:lvlJc w:val="left"/>
      <w:pPr>
        <w:ind w:left="644"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390A6B6B"/>
    <w:multiLevelType w:val="hybridMultilevel"/>
    <w:tmpl w:val="592EB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76E68"/>
    <w:multiLevelType w:val="hybridMultilevel"/>
    <w:tmpl w:val="A816BDF2"/>
    <w:lvl w:ilvl="0" w:tplc="7750D7AE">
      <w:start w:val="1"/>
      <w:numFmt w:val="lowerLetter"/>
      <w:lvlText w:val="%1."/>
      <w:lvlJc w:val="left"/>
      <w:pPr>
        <w:ind w:left="360" w:hanging="360"/>
      </w:pPr>
      <w:rPr>
        <w:rFonts w:ascii="Times New Roman" w:eastAsia="MS Mincho"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2B4F11"/>
    <w:multiLevelType w:val="hybridMultilevel"/>
    <w:tmpl w:val="8BA6E3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DA153D"/>
    <w:multiLevelType w:val="hybridMultilevel"/>
    <w:tmpl w:val="E9A4F514"/>
    <w:lvl w:ilvl="0" w:tplc="B2CE31D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10635"/>
    <w:multiLevelType w:val="hybridMultilevel"/>
    <w:tmpl w:val="C206FF2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3F4C9A"/>
    <w:multiLevelType w:val="hybridMultilevel"/>
    <w:tmpl w:val="233ACEFC"/>
    <w:lvl w:ilvl="0" w:tplc="601A54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2E41301"/>
    <w:multiLevelType w:val="hybridMultilevel"/>
    <w:tmpl w:val="5C50F7DE"/>
    <w:lvl w:ilvl="0" w:tplc="FFFFFFFF">
      <w:start w:val="1"/>
      <w:numFmt w:val="lowerLetter"/>
      <w:lvlText w:val="%1)"/>
      <w:lvlJc w:val="left"/>
      <w:pPr>
        <w:ind w:left="720" w:hanging="360"/>
      </w:pPr>
    </w:lvl>
    <w:lvl w:ilvl="1" w:tplc="04090017">
      <w:start w:val="1"/>
      <w:numFmt w:val="lowerLetter"/>
      <w:lvlText w:val="%2)"/>
      <w:lvlJc w:val="left"/>
      <w:pPr>
        <w:ind w:left="644" w:hanging="360"/>
      </w:pPr>
    </w:lvl>
    <w:lvl w:ilvl="2" w:tplc="A19C68F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A36525"/>
    <w:multiLevelType w:val="hybridMultilevel"/>
    <w:tmpl w:val="75A4A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0" w15:restartNumberingAfterBreak="0">
    <w:nsid w:val="6B003A38"/>
    <w:multiLevelType w:val="hybridMultilevel"/>
    <w:tmpl w:val="6F28A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7C69AF"/>
    <w:multiLevelType w:val="hybridMultilevel"/>
    <w:tmpl w:val="1D7808AC"/>
    <w:lvl w:ilvl="0" w:tplc="0409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73013779"/>
    <w:multiLevelType w:val="hybridMultilevel"/>
    <w:tmpl w:val="A21ECC00"/>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5BF60DE"/>
    <w:multiLevelType w:val="hybridMultilevel"/>
    <w:tmpl w:val="3642DE8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69618BF"/>
    <w:multiLevelType w:val="hybridMultilevel"/>
    <w:tmpl w:val="CF3CABB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BD03155"/>
    <w:multiLevelType w:val="hybridMultilevel"/>
    <w:tmpl w:val="7756997A"/>
    <w:lvl w:ilvl="0" w:tplc="55702D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57466252">
    <w:abstractNumId w:val="19"/>
  </w:num>
  <w:num w:numId="2" w16cid:durableId="1709913644">
    <w:abstractNumId w:val="12"/>
  </w:num>
  <w:num w:numId="3" w16cid:durableId="1789467640">
    <w:abstractNumId w:val="16"/>
  </w:num>
  <w:num w:numId="4" w16cid:durableId="1829395991">
    <w:abstractNumId w:val="1"/>
  </w:num>
  <w:num w:numId="5" w16cid:durableId="448428756">
    <w:abstractNumId w:val="11"/>
  </w:num>
  <w:num w:numId="6" w16cid:durableId="1553347800">
    <w:abstractNumId w:val="14"/>
  </w:num>
  <w:num w:numId="7" w16cid:durableId="48844116">
    <w:abstractNumId w:val="25"/>
  </w:num>
  <w:num w:numId="8" w16cid:durableId="600768547">
    <w:abstractNumId w:val="21"/>
  </w:num>
  <w:num w:numId="9" w16cid:durableId="75441049">
    <w:abstractNumId w:val="3"/>
  </w:num>
  <w:num w:numId="10" w16cid:durableId="1665740031">
    <w:abstractNumId w:val="17"/>
  </w:num>
  <w:num w:numId="11" w16cid:durableId="1007753659">
    <w:abstractNumId w:val="0"/>
  </w:num>
  <w:num w:numId="12" w16cid:durableId="1387296948">
    <w:abstractNumId w:val="7"/>
  </w:num>
  <w:num w:numId="13" w16cid:durableId="827286161">
    <w:abstractNumId w:val="23"/>
  </w:num>
  <w:num w:numId="14" w16cid:durableId="1053850798">
    <w:abstractNumId w:val="22"/>
  </w:num>
  <w:num w:numId="15" w16cid:durableId="981152324">
    <w:abstractNumId w:val="10"/>
  </w:num>
  <w:num w:numId="16" w16cid:durableId="1268544344">
    <w:abstractNumId w:val="2"/>
  </w:num>
  <w:num w:numId="17" w16cid:durableId="221714133">
    <w:abstractNumId w:val="20"/>
  </w:num>
  <w:num w:numId="18" w16cid:durableId="355035510">
    <w:abstractNumId w:val="15"/>
  </w:num>
  <w:num w:numId="19" w16cid:durableId="1058673064">
    <w:abstractNumId w:val="5"/>
  </w:num>
  <w:num w:numId="20" w16cid:durableId="567108250">
    <w:abstractNumId w:val="8"/>
  </w:num>
  <w:num w:numId="21" w16cid:durableId="1234193213">
    <w:abstractNumId w:val="9"/>
  </w:num>
  <w:num w:numId="22" w16cid:durableId="153765725">
    <w:abstractNumId w:val="24"/>
  </w:num>
  <w:num w:numId="23" w16cid:durableId="1949117197">
    <w:abstractNumId w:val="18"/>
  </w:num>
  <w:num w:numId="24" w16cid:durableId="1814132501">
    <w:abstractNumId w:val="6"/>
  </w:num>
  <w:num w:numId="25" w16cid:durableId="2119525498">
    <w:abstractNumId w:val="4"/>
  </w:num>
  <w:num w:numId="26" w16cid:durableId="1454330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F5"/>
    <w:rsid w:val="004E44AF"/>
    <w:rsid w:val="005E73A6"/>
    <w:rsid w:val="0079225B"/>
    <w:rsid w:val="008412F5"/>
    <w:rsid w:val="00A33E70"/>
  </w:rsids>
  <m:mathPr>
    <m:mathFont m:val="Cambria Math"/>
    <m:brkBin m:val="before"/>
    <m:brkBinSub m:val="--"/>
    <m:smallFrac m:val="0"/>
    <m:dispDef/>
    <m:lMargin m:val="0"/>
    <m:rMargin m:val="0"/>
    <m:defJc m:val="centerGroup"/>
    <m:wrapIndent m:val="1440"/>
    <m:intLim m:val="subSup"/>
    <m:naryLim m:val="undOvr"/>
  </m:mathPr>
  <w:themeFontLang w:val="en-AL"/>
  <w:clrSchemeMapping w:bg1="light1" w:t1="dark1" w:bg2="light2" w:t2="dark2" w:accent1="accent1" w:accent2="accent2" w:accent3="accent3" w:accent4="accent4" w:accent5="accent5" w:accent6="accent6" w:hyperlink="hyperlink" w:followedHyperlink="followedHyperlink"/>
  <w:decimalSymbol w:val=","/>
  <w:listSeparator w:val=","/>
  <w14:docId w14:val="014A1C1F"/>
  <w15:chartTrackingRefBased/>
  <w15:docId w15:val="{EA780C28-95AD-3C49-9611-305C24B6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2F5"/>
    <w:pPr>
      <w:spacing w:after="160" w:line="259" w:lineRule="auto"/>
    </w:pPr>
    <w:rPr>
      <w:rFonts w:eastAsia="MS Mincho"/>
      <w:kern w:val="0"/>
      <w:sz w:val="22"/>
      <w:szCs w:val="22"/>
      <w:lang w:val="en-US"/>
      <w14:ligatures w14:val="none"/>
    </w:rPr>
  </w:style>
  <w:style w:type="paragraph" w:styleId="Heading1">
    <w:name w:val="heading 1"/>
    <w:basedOn w:val="Normal"/>
    <w:next w:val="Normal"/>
    <w:link w:val="Heading1Char"/>
    <w:uiPriority w:val="9"/>
    <w:qFormat/>
    <w:rsid w:val="008412F5"/>
    <w:pPr>
      <w:keepNext/>
      <w:keepLines/>
      <w:spacing w:after="0"/>
      <w:jc w:val="center"/>
      <w:outlineLvl w:val="0"/>
    </w:pPr>
    <w:rPr>
      <w:rFonts w:ascii="Times New Roman" w:eastAsiaTheme="majorEastAsia" w:hAnsi="Times New Roman" w:cstheme="majorBidi"/>
      <w:b/>
      <w:color w:val="000000" w:themeColor="text1"/>
      <w:sz w:val="28"/>
      <w:szCs w:val="32"/>
      <w:lang w:val="sq-AL"/>
    </w:rPr>
  </w:style>
  <w:style w:type="paragraph" w:styleId="Heading2">
    <w:name w:val="heading 2"/>
    <w:basedOn w:val="Normal"/>
    <w:next w:val="Normal"/>
    <w:link w:val="Heading2Char"/>
    <w:uiPriority w:val="9"/>
    <w:unhideWhenUsed/>
    <w:qFormat/>
    <w:rsid w:val="008412F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2F5"/>
    <w:pPr>
      <w:keepNext/>
      <w:keepLines/>
      <w:spacing w:before="40" w:after="0"/>
      <w:outlineLvl w:val="2"/>
    </w:pPr>
    <w:rPr>
      <w:rFonts w:asciiTheme="majorHAnsi" w:eastAsiaTheme="majorEastAsia" w:hAnsiTheme="majorHAnsi" w:cstheme="majorBidi"/>
      <w:color w:val="1F3763" w:themeColor="accent1" w:themeShade="7F"/>
      <w:sz w:val="24"/>
      <w:szCs w:val="24"/>
      <w:lang w:val="sq-AL"/>
    </w:rPr>
  </w:style>
  <w:style w:type="paragraph" w:styleId="Heading4">
    <w:name w:val="heading 4"/>
    <w:basedOn w:val="Normal"/>
    <w:next w:val="Normal"/>
    <w:link w:val="Heading4Char"/>
    <w:uiPriority w:val="9"/>
    <w:unhideWhenUsed/>
    <w:qFormat/>
    <w:rsid w:val="008412F5"/>
    <w:pPr>
      <w:keepNext/>
      <w:keepLines/>
      <w:spacing w:before="40" w:after="0" w:line="276" w:lineRule="auto"/>
      <w:outlineLvl w:val="3"/>
    </w:pPr>
    <w:rPr>
      <w:rFonts w:asciiTheme="majorHAnsi" w:eastAsiaTheme="majorEastAsia" w:hAnsiTheme="majorHAnsi" w:cstheme="majorBidi"/>
      <w:i/>
      <w:iCs/>
      <w:color w:val="2F5496" w:themeColor="accent1" w:themeShade="B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2F5"/>
    <w:rPr>
      <w:rFonts w:ascii="Times New Roman" w:eastAsiaTheme="majorEastAsia" w:hAnsi="Times New Roman" w:cstheme="majorBidi"/>
      <w:b/>
      <w:color w:val="000000" w:themeColor="text1"/>
      <w:kern w:val="0"/>
      <w:sz w:val="28"/>
      <w:szCs w:val="32"/>
      <w:lang w:val="sq-AL"/>
      <w14:ligatures w14:val="none"/>
    </w:rPr>
  </w:style>
  <w:style w:type="character" w:customStyle="1" w:styleId="Heading2Char">
    <w:name w:val="Heading 2 Char"/>
    <w:basedOn w:val="DefaultParagraphFont"/>
    <w:link w:val="Heading2"/>
    <w:uiPriority w:val="9"/>
    <w:rsid w:val="008412F5"/>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3Char">
    <w:name w:val="Heading 3 Char"/>
    <w:basedOn w:val="DefaultParagraphFont"/>
    <w:link w:val="Heading3"/>
    <w:uiPriority w:val="9"/>
    <w:rsid w:val="008412F5"/>
    <w:rPr>
      <w:rFonts w:asciiTheme="majorHAnsi" w:eastAsiaTheme="majorEastAsia" w:hAnsiTheme="majorHAnsi" w:cstheme="majorBidi"/>
      <w:color w:val="1F3763" w:themeColor="accent1" w:themeShade="7F"/>
      <w:kern w:val="0"/>
      <w:lang w:val="sq-AL"/>
      <w14:ligatures w14:val="none"/>
    </w:rPr>
  </w:style>
  <w:style w:type="character" w:customStyle="1" w:styleId="Heading4Char">
    <w:name w:val="Heading 4 Char"/>
    <w:basedOn w:val="DefaultParagraphFont"/>
    <w:link w:val="Heading4"/>
    <w:uiPriority w:val="9"/>
    <w:rsid w:val="008412F5"/>
    <w:rPr>
      <w:rFonts w:asciiTheme="majorHAnsi" w:eastAsiaTheme="majorEastAsia" w:hAnsiTheme="majorHAnsi" w:cstheme="majorBidi"/>
      <w:i/>
      <w:iCs/>
      <w:color w:val="2F5496" w:themeColor="accent1" w:themeShade="BF"/>
      <w:kern w:val="0"/>
      <w:sz w:val="22"/>
      <w:szCs w:val="22"/>
      <w:lang w:val="sq-AL"/>
      <w14:ligatures w14:val="none"/>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8412F5"/>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8412F5"/>
    <w:rPr>
      <w:rFonts w:eastAsia="MS Mincho"/>
      <w:kern w:val="0"/>
      <w:sz w:val="22"/>
      <w:szCs w:val="22"/>
      <w:lang w:val="en-US"/>
      <w14:ligatures w14:val="none"/>
    </w:rPr>
  </w:style>
  <w:style w:type="paragraph" w:styleId="BodyText">
    <w:name w:val="Body Text"/>
    <w:basedOn w:val="Normal"/>
    <w:link w:val="BodyTextChar"/>
    <w:uiPriority w:val="99"/>
    <w:semiHidden/>
    <w:unhideWhenUsed/>
    <w:rsid w:val="008412F5"/>
    <w:pPr>
      <w:spacing w:after="120" w:line="276" w:lineRule="auto"/>
    </w:pPr>
    <w:rPr>
      <w:lang w:val="sq-AL"/>
    </w:rPr>
  </w:style>
  <w:style w:type="character" w:customStyle="1" w:styleId="BodyTextChar">
    <w:name w:val="Body Text Char"/>
    <w:basedOn w:val="DefaultParagraphFont"/>
    <w:link w:val="BodyText"/>
    <w:uiPriority w:val="99"/>
    <w:semiHidden/>
    <w:rsid w:val="008412F5"/>
    <w:rPr>
      <w:rFonts w:eastAsia="MS Mincho"/>
      <w:kern w:val="0"/>
      <w:sz w:val="22"/>
      <w:szCs w:val="22"/>
      <w:lang w:val="sq-AL"/>
      <w14:ligatures w14:val="none"/>
    </w:rPr>
  </w:style>
  <w:style w:type="paragraph" w:customStyle="1" w:styleId="TEKSTIII">
    <w:name w:val="TEKSTIII"/>
    <w:basedOn w:val="Normal"/>
    <w:qFormat/>
    <w:rsid w:val="008412F5"/>
    <w:pPr>
      <w:spacing w:after="0" w:line="240" w:lineRule="auto"/>
      <w:ind w:firstLine="284"/>
      <w:jc w:val="both"/>
    </w:pPr>
    <w:rPr>
      <w:rFonts w:ascii="Garamond" w:hAnsi="Garamond"/>
      <w:sz w:val="24"/>
      <w:szCs w:val="24"/>
      <w:lang w:val="sq-AL"/>
    </w:rPr>
  </w:style>
  <w:style w:type="table" w:styleId="TableGrid">
    <w:name w:val="Table Grid"/>
    <w:basedOn w:val="TableNormal"/>
    <w:uiPriority w:val="59"/>
    <w:rsid w:val="008412F5"/>
    <w:rPr>
      <w:rFonts w:eastAsiaTheme="minorEastAsia"/>
      <w:kern w:val="0"/>
      <w:sz w:val="22"/>
      <w:szCs w:val="22"/>
      <w:lang w:val="sq-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12F5"/>
  </w:style>
  <w:style w:type="character" w:styleId="Hyperlink">
    <w:name w:val="Hyperlink"/>
    <w:basedOn w:val="DefaultParagraphFont"/>
    <w:uiPriority w:val="99"/>
    <w:unhideWhenUsed/>
    <w:rsid w:val="008412F5"/>
    <w:rPr>
      <w:color w:val="0563C1" w:themeColor="hyperlink"/>
      <w:u w:val="single"/>
    </w:rPr>
  </w:style>
  <w:style w:type="paragraph" w:styleId="TOC1">
    <w:name w:val="toc 1"/>
    <w:basedOn w:val="Normal"/>
    <w:next w:val="Normal"/>
    <w:autoRedefine/>
    <w:uiPriority w:val="39"/>
    <w:unhideWhenUsed/>
    <w:rsid w:val="008412F5"/>
    <w:pPr>
      <w:tabs>
        <w:tab w:val="right" w:leader="dot" w:pos="9016"/>
      </w:tabs>
      <w:spacing w:after="100" w:line="276" w:lineRule="auto"/>
    </w:pPr>
    <w:rPr>
      <w:lang w:val="sq-AL"/>
    </w:rPr>
  </w:style>
  <w:style w:type="paragraph" w:styleId="TOC2">
    <w:name w:val="toc 2"/>
    <w:basedOn w:val="Normal"/>
    <w:next w:val="Normal"/>
    <w:autoRedefine/>
    <w:uiPriority w:val="39"/>
    <w:unhideWhenUsed/>
    <w:rsid w:val="008412F5"/>
    <w:pPr>
      <w:spacing w:after="100" w:line="276" w:lineRule="auto"/>
      <w:ind w:left="220"/>
    </w:pPr>
    <w:rPr>
      <w:lang w:val="sq-AL"/>
    </w:rPr>
  </w:style>
  <w:style w:type="paragraph" w:styleId="TOC3">
    <w:name w:val="toc 3"/>
    <w:basedOn w:val="Normal"/>
    <w:next w:val="Normal"/>
    <w:autoRedefine/>
    <w:uiPriority w:val="39"/>
    <w:unhideWhenUsed/>
    <w:rsid w:val="008412F5"/>
    <w:pPr>
      <w:spacing w:after="100" w:line="276" w:lineRule="auto"/>
      <w:ind w:left="440"/>
    </w:pPr>
    <w:rPr>
      <w:lang w:val="sq-AL"/>
    </w:rPr>
  </w:style>
  <w:style w:type="paragraph" w:styleId="NoSpacing">
    <w:name w:val="No Spacing"/>
    <w:uiPriority w:val="1"/>
    <w:qFormat/>
    <w:rsid w:val="008412F5"/>
    <w:rPr>
      <w:rFonts w:eastAsia="MS Mincho"/>
      <w:color w:val="44546A" w:themeColor="text2"/>
      <w:kern w:val="0"/>
      <w:sz w:val="20"/>
      <w:szCs w:val="20"/>
      <w:lang w:val="sq-AL"/>
      <w14:ligatures w14:val="none"/>
    </w:rPr>
  </w:style>
  <w:style w:type="paragraph" w:styleId="TOCHeading">
    <w:name w:val="TOC Heading"/>
    <w:basedOn w:val="Heading1"/>
    <w:next w:val="Normal"/>
    <w:uiPriority w:val="39"/>
    <w:unhideWhenUsed/>
    <w:qFormat/>
    <w:rsid w:val="008412F5"/>
    <w:pPr>
      <w:outlineLvl w:val="9"/>
    </w:pPr>
  </w:style>
  <w:style w:type="paragraph" w:styleId="EndnoteText">
    <w:name w:val="endnote text"/>
    <w:basedOn w:val="Normal"/>
    <w:link w:val="EndnoteTextChar"/>
    <w:uiPriority w:val="99"/>
    <w:semiHidden/>
    <w:unhideWhenUsed/>
    <w:rsid w:val="008412F5"/>
    <w:pPr>
      <w:spacing w:after="0" w:line="240" w:lineRule="auto"/>
    </w:pPr>
    <w:rPr>
      <w:sz w:val="20"/>
      <w:szCs w:val="20"/>
      <w:lang w:val="sq-AL"/>
    </w:rPr>
  </w:style>
  <w:style w:type="character" w:customStyle="1" w:styleId="EndnoteTextChar">
    <w:name w:val="Endnote Text Char"/>
    <w:basedOn w:val="DefaultParagraphFont"/>
    <w:link w:val="EndnoteText"/>
    <w:uiPriority w:val="99"/>
    <w:semiHidden/>
    <w:rsid w:val="008412F5"/>
    <w:rPr>
      <w:rFonts w:eastAsia="MS Mincho"/>
      <w:kern w:val="0"/>
      <w:sz w:val="20"/>
      <w:szCs w:val="20"/>
      <w:lang w:val="sq-AL"/>
      <w14:ligatures w14:val="none"/>
    </w:rPr>
  </w:style>
  <w:style w:type="character" w:styleId="EndnoteReference">
    <w:name w:val="endnote reference"/>
    <w:basedOn w:val="DefaultParagraphFont"/>
    <w:uiPriority w:val="99"/>
    <w:semiHidden/>
    <w:unhideWhenUsed/>
    <w:rsid w:val="008412F5"/>
    <w:rPr>
      <w:vertAlign w:val="superscript"/>
    </w:rPr>
  </w:style>
  <w:style w:type="paragraph" w:styleId="FootnoteText">
    <w:name w:val="footnote text"/>
    <w:aliases w:val="Testo nota a piè di pagina Carattere,Geneva 9,Font: Geneva 9,Boston 10,f"/>
    <w:basedOn w:val="Normal"/>
    <w:link w:val="FootnoteTextChar"/>
    <w:uiPriority w:val="99"/>
    <w:unhideWhenUsed/>
    <w:qFormat/>
    <w:rsid w:val="008412F5"/>
    <w:pPr>
      <w:spacing w:after="0" w:line="240" w:lineRule="auto"/>
    </w:pPr>
    <w:rPr>
      <w:sz w:val="20"/>
      <w:szCs w:val="20"/>
      <w:lang w:val="sq-AL"/>
    </w:rPr>
  </w:style>
  <w:style w:type="character" w:customStyle="1" w:styleId="FootnoteTextChar">
    <w:name w:val="Footnote Text Char"/>
    <w:aliases w:val="Testo nota a piè di pagina Carattere Char,Geneva 9 Char,Font: Geneva 9 Char,Boston 10 Char,f Char"/>
    <w:basedOn w:val="DefaultParagraphFont"/>
    <w:link w:val="FootnoteText"/>
    <w:uiPriority w:val="99"/>
    <w:rsid w:val="008412F5"/>
    <w:rPr>
      <w:rFonts w:eastAsia="MS Mincho"/>
      <w:kern w:val="0"/>
      <w:sz w:val="20"/>
      <w:szCs w:val="20"/>
      <w:lang w:val="sq-AL"/>
      <w14:ligatures w14:val="none"/>
    </w:rPr>
  </w:style>
  <w:style w:type="character" w:styleId="FootnoteReference">
    <w:name w:val="footnote reference"/>
    <w:aliases w:val="16 Point,Superscript 6 Point"/>
    <w:basedOn w:val="DefaultParagraphFont"/>
    <w:link w:val="BVIfnrCarCarCarCarChar"/>
    <w:uiPriority w:val="99"/>
    <w:semiHidden/>
    <w:unhideWhenUsed/>
    <w:rsid w:val="008412F5"/>
    <w:rPr>
      <w:vertAlign w:val="superscript"/>
    </w:rPr>
  </w:style>
  <w:style w:type="character" w:customStyle="1" w:styleId="apple-converted-space">
    <w:name w:val="apple-converted-space"/>
    <w:basedOn w:val="DefaultParagraphFont"/>
    <w:rsid w:val="008412F5"/>
  </w:style>
  <w:style w:type="paragraph" w:styleId="NormalWeb">
    <w:name w:val="Normal (Web)"/>
    <w:basedOn w:val="Normal"/>
    <w:uiPriority w:val="99"/>
    <w:semiHidden/>
    <w:unhideWhenUsed/>
    <w:rsid w:val="008412F5"/>
    <w:pPr>
      <w:spacing w:before="100" w:beforeAutospacing="1" w:after="100" w:afterAutospacing="1"/>
    </w:pPr>
    <w:rPr>
      <w:rFonts w:ascii="Times New Roman" w:eastAsiaTheme="minorEastAsia" w:hAnsi="Times New Roman" w:cs="Times New Roman"/>
      <w:szCs w:val="24"/>
      <w:lang w:val="sq-AL"/>
    </w:rPr>
  </w:style>
  <w:style w:type="paragraph" w:styleId="Header">
    <w:name w:val="header"/>
    <w:basedOn w:val="Normal"/>
    <w:link w:val="HeaderChar"/>
    <w:unhideWhenUsed/>
    <w:rsid w:val="008412F5"/>
    <w:pPr>
      <w:tabs>
        <w:tab w:val="center" w:pos="4680"/>
        <w:tab w:val="right" w:pos="9360"/>
      </w:tabs>
      <w:spacing w:after="0" w:line="240" w:lineRule="auto"/>
    </w:pPr>
    <w:rPr>
      <w:lang w:val="sq-AL"/>
    </w:rPr>
  </w:style>
  <w:style w:type="character" w:customStyle="1" w:styleId="HeaderChar">
    <w:name w:val="Header Char"/>
    <w:basedOn w:val="DefaultParagraphFont"/>
    <w:link w:val="Header"/>
    <w:rsid w:val="008412F5"/>
    <w:rPr>
      <w:rFonts w:eastAsia="MS Mincho"/>
      <w:kern w:val="0"/>
      <w:sz w:val="22"/>
      <w:szCs w:val="22"/>
      <w:lang w:val="sq-AL"/>
      <w14:ligatures w14:val="none"/>
    </w:rPr>
  </w:style>
  <w:style w:type="paragraph" w:styleId="Footer">
    <w:name w:val="footer"/>
    <w:basedOn w:val="Normal"/>
    <w:link w:val="FooterChar"/>
    <w:uiPriority w:val="99"/>
    <w:unhideWhenUsed/>
    <w:rsid w:val="008412F5"/>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8412F5"/>
    <w:rPr>
      <w:rFonts w:eastAsia="MS Mincho"/>
      <w:kern w:val="0"/>
      <w:sz w:val="22"/>
      <w:szCs w:val="22"/>
      <w:lang w:val="sq-AL"/>
      <w14:ligatures w14:val="none"/>
    </w:rPr>
  </w:style>
  <w:style w:type="character" w:customStyle="1" w:styleId="UnresolvedMention1">
    <w:name w:val="Unresolved Mention1"/>
    <w:basedOn w:val="DefaultParagraphFont"/>
    <w:uiPriority w:val="99"/>
    <w:semiHidden/>
    <w:unhideWhenUsed/>
    <w:rsid w:val="008412F5"/>
    <w:rPr>
      <w:color w:val="605E5C"/>
      <w:shd w:val="clear" w:color="auto" w:fill="E1DFDD"/>
    </w:rPr>
  </w:style>
  <w:style w:type="paragraph" w:styleId="Title">
    <w:name w:val="Title"/>
    <w:basedOn w:val="Normal"/>
    <w:next w:val="Normal"/>
    <w:link w:val="TitleChar"/>
    <w:uiPriority w:val="10"/>
    <w:qFormat/>
    <w:rsid w:val="008412F5"/>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sq-AL"/>
    </w:rPr>
  </w:style>
  <w:style w:type="character" w:customStyle="1" w:styleId="TitleChar">
    <w:name w:val="Title Char"/>
    <w:basedOn w:val="DefaultParagraphFont"/>
    <w:link w:val="Title"/>
    <w:uiPriority w:val="10"/>
    <w:rsid w:val="008412F5"/>
    <w:rPr>
      <w:rFonts w:asciiTheme="majorHAnsi" w:eastAsiaTheme="majorEastAsia" w:hAnsiTheme="majorHAnsi" w:cstheme="majorBidi"/>
      <w:color w:val="404040" w:themeColor="text1" w:themeTint="BF"/>
      <w:spacing w:val="-10"/>
      <w:kern w:val="28"/>
      <w:sz w:val="56"/>
      <w:szCs w:val="56"/>
      <w:lang w:val="sq-AL"/>
      <w14:ligatures w14:val="none"/>
    </w:rPr>
  </w:style>
  <w:style w:type="paragraph" w:styleId="Subtitle">
    <w:name w:val="Subtitle"/>
    <w:basedOn w:val="Normal"/>
    <w:next w:val="Normal"/>
    <w:link w:val="SubtitleChar"/>
    <w:uiPriority w:val="11"/>
    <w:qFormat/>
    <w:rsid w:val="008412F5"/>
    <w:pPr>
      <w:numPr>
        <w:ilvl w:val="1"/>
      </w:numPr>
    </w:pPr>
    <w:rPr>
      <w:rFonts w:eastAsiaTheme="minorEastAsia" w:cs="Times New Roman"/>
      <w:color w:val="5A5A5A" w:themeColor="text1" w:themeTint="A5"/>
      <w:spacing w:val="15"/>
      <w:lang w:val="sq-AL"/>
    </w:rPr>
  </w:style>
  <w:style w:type="character" w:customStyle="1" w:styleId="SubtitleChar">
    <w:name w:val="Subtitle Char"/>
    <w:basedOn w:val="DefaultParagraphFont"/>
    <w:link w:val="Subtitle"/>
    <w:uiPriority w:val="11"/>
    <w:rsid w:val="008412F5"/>
    <w:rPr>
      <w:rFonts w:eastAsiaTheme="minorEastAsia" w:cs="Times New Roman"/>
      <w:color w:val="5A5A5A" w:themeColor="text1" w:themeTint="A5"/>
      <w:spacing w:val="15"/>
      <w:kern w:val="0"/>
      <w:sz w:val="22"/>
      <w:szCs w:val="22"/>
      <w:lang w:val="sq-AL"/>
      <w14:ligatures w14:val="none"/>
    </w:rPr>
  </w:style>
  <w:style w:type="character" w:customStyle="1" w:styleId="ECVHeadingContactDetails">
    <w:name w:val="_ECV_HeadingContactDetails"/>
    <w:uiPriority w:val="4"/>
    <w:semiHidden/>
    <w:rsid w:val="008412F5"/>
    <w:rPr>
      <w:rFonts w:ascii="Arial" w:hAnsi="Arial"/>
      <w:color w:val="1593CB"/>
      <w:sz w:val="18"/>
      <w:szCs w:val="18"/>
      <w:shd w:val="clear" w:color="auto" w:fill="auto"/>
    </w:rPr>
  </w:style>
  <w:style w:type="character" w:customStyle="1" w:styleId="ECVContactDetails">
    <w:name w:val="_ECV_ContactDetails"/>
    <w:uiPriority w:val="4"/>
    <w:semiHidden/>
    <w:rsid w:val="008412F5"/>
    <w:rPr>
      <w:rFonts w:ascii="Arial" w:hAnsi="Arial"/>
      <w:color w:val="3F3A38"/>
      <w:sz w:val="18"/>
      <w:szCs w:val="18"/>
      <w:shd w:val="clear" w:color="auto" w:fill="auto"/>
    </w:rPr>
  </w:style>
  <w:style w:type="character" w:customStyle="1" w:styleId="ECVHeadingBusinessSector">
    <w:name w:val="_ECV_HeadingBusinessSector"/>
    <w:uiPriority w:val="4"/>
    <w:semiHidden/>
    <w:rsid w:val="008412F5"/>
    <w:rPr>
      <w:rFonts w:ascii="Arial" w:hAnsi="Arial"/>
      <w:color w:val="1593CB"/>
      <w:spacing w:val="-6"/>
      <w:sz w:val="18"/>
      <w:szCs w:val="18"/>
      <w:shd w:val="clear" w:color="auto" w:fill="auto"/>
    </w:rPr>
  </w:style>
  <w:style w:type="paragraph" w:customStyle="1" w:styleId="ECVLeftHeading">
    <w:name w:val="_ECV_LeftHeading"/>
    <w:basedOn w:val="Normal"/>
    <w:uiPriority w:val="4"/>
    <w:semiHidden/>
    <w:rsid w:val="008412F5"/>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sq-AL" w:eastAsia="zh-CN" w:bidi="hi-IN"/>
    </w:rPr>
  </w:style>
  <w:style w:type="paragraph" w:customStyle="1" w:styleId="ECVNameField">
    <w:name w:val="_ECV_NameField"/>
    <w:basedOn w:val="Normal"/>
    <w:uiPriority w:val="4"/>
    <w:semiHidden/>
    <w:rsid w:val="008412F5"/>
    <w:pPr>
      <w:widowControl w:val="0"/>
      <w:suppressLineNumbers/>
      <w:suppressAutoHyphens/>
      <w:spacing w:after="0" w:line="100" w:lineRule="atLeast"/>
    </w:pPr>
    <w:rPr>
      <w:rFonts w:ascii="Arial" w:eastAsia="SimSun" w:hAnsi="Arial" w:cs="Mangal"/>
      <w:color w:val="3F3A38"/>
      <w:spacing w:val="-6"/>
      <w:kern w:val="1"/>
      <w:sz w:val="26"/>
      <w:szCs w:val="18"/>
      <w:lang w:val="sq-AL" w:eastAsia="zh-CN" w:bidi="hi-IN"/>
    </w:rPr>
  </w:style>
  <w:style w:type="paragraph" w:customStyle="1" w:styleId="ECVSubSectionHeading">
    <w:name w:val="_ECV_SubSectionHeading"/>
    <w:basedOn w:val="Normal"/>
    <w:uiPriority w:val="4"/>
    <w:semiHidden/>
    <w:rsid w:val="008412F5"/>
    <w:pPr>
      <w:widowControl w:val="0"/>
      <w:suppressLineNumbers/>
      <w:suppressAutoHyphens/>
      <w:spacing w:after="0" w:line="100" w:lineRule="atLeast"/>
    </w:pPr>
    <w:rPr>
      <w:rFonts w:ascii="Arial" w:eastAsia="SimSun" w:hAnsi="Arial" w:cs="Mangal"/>
      <w:color w:val="0E4194"/>
      <w:spacing w:val="-6"/>
      <w:kern w:val="1"/>
      <w:szCs w:val="24"/>
      <w:lang w:val="sq-AL" w:eastAsia="zh-CN" w:bidi="hi-IN"/>
    </w:rPr>
  </w:style>
  <w:style w:type="paragraph" w:customStyle="1" w:styleId="ECVSectionDetails">
    <w:name w:val="_ECV_SectionDetails"/>
    <w:basedOn w:val="Normal"/>
    <w:uiPriority w:val="4"/>
    <w:semiHidden/>
    <w:rsid w:val="008412F5"/>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sq-AL" w:eastAsia="zh-CN" w:bidi="hi-IN"/>
    </w:rPr>
  </w:style>
  <w:style w:type="paragraph" w:customStyle="1" w:styleId="ECVDate">
    <w:name w:val="_ECV_Date"/>
    <w:basedOn w:val="ECVLeftHeading"/>
    <w:uiPriority w:val="4"/>
    <w:semiHidden/>
    <w:rsid w:val="008412F5"/>
    <w:pPr>
      <w:spacing w:before="28" w:line="100" w:lineRule="atLeast"/>
      <w:textAlignment w:val="top"/>
    </w:pPr>
    <w:rPr>
      <w:caps w:val="0"/>
    </w:rPr>
  </w:style>
  <w:style w:type="paragraph" w:customStyle="1" w:styleId="ECVLeftDetails">
    <w:name w:val="_ECV_LeftDetails"/>
    <w:basedOn w:val="ECVLeftHeading"/>
    <w:uiPriority w:val="4"/>
    <w:semiHidden/>
    <w:rsid w:val="008412F5"/>
    <w:pPr>
      <w:spacing w:before="23"/>
    </w:pPr>
    <w:rPr>
      <w:caps w:val="0"/>
    </w:rPr>
  </w:style>
  <w:style w:type="paragraph" w:customStyle="1" w:styleId="ECVPersonalInfoHeading">
    <w:name w:val="_ECV_PersonalInfoHeading"/>
    <w:basedOn w:val="ECVLeftHeading"/>
    <w:uiPriority w:val="4"/>
    <w:semiHidden/>
    <w:rsid w:val="008412F5"/>
    <w:pPr>
      <w:spacing w:before="57"/>
    </w:pPr>
  </w:style>
  <w:style w:type="paragraph" w:customStyle="1" w:styleId="ECVBusinessSectorRow">
    <w:name w:val="_ECV_BusinessSectorRow"/>
    <w:basedOn w:val="Normal"/>
    <w:uiPriority w:val="4"/>
    <w:semiHidden/>
    <w:rsid w:val="008412F5"/>
    <w:pPr>
      <w:widowControl w:val="0"/>
      <w:suppressAutoHyphens/>
      <w:spacing w:after="0" w:line="240" w:lineRule="auto"/>
    </w:pPr>
    <w:rPr>
      <w:rFonts w:ascii="Arial" w:eastAsia="SimSun" w:hAnsi="Arial" w:cs="Mangal"/>
      <w:color w:val="3F3A38"/>
      <w:spacing w:val="-6"/>
      <w:kern w:val="1"/>
      <w:sz w:val="16"/>
      <w:szCs w:val="24"/>
      <w:lang w:val="sq-AL" w:eastAsia="zh-CN" w:bidi="hi-IN"/>
    </w:rPr>
  </w:style>
  <w:style w:type="paragraph" w:customStyle="1" w:styleId="ECVBlueBox">
    <w:name w:val="_ECV_BlueBox"/>
    <w:basedOn w:val="Normal"/>
    <w:uiPriority w:val="4"/>
    <w:semiHidden/>
    <w:rsid w:val="008412F5"/>
    <w:pPr>
      <w:widowControl w:val="0"/>
      <w:suppressLineNumbers/>
      <w:suppressAutoHyphens/>
      <w:spacing w:after="0" w:line="240" w:lineRule="auto"/>
      <w:jc w:val="right"/>
      <w:textAlignment w:val="bottom"/>
    </w:pPr>
    <w:rPr>
      <w:rFonts w:ascii="Arial" w:eastAsia="SimSun" w:hAnsi="Arial" w:cs="Mangal"/>
      <w:color w:val="402C24"/>
      <w:kern w:val="1"/>
      <w:sz w:val="8"/>
      <w:szCs w:val="10"/>
      <w:lang w:val="sq-AL" w:eastAsia="zh-CN" w:bidi="hi-IN"/>
    </w:rPr>
  </w:style>
  <w:style w:type="paragraph" w:customStyle="1" w:styleId="CVHeading1">
    <w:name w:val="CV Heading 1"/>
    <w:basedOn w:val="Normal"/>
    <w:rsid w:val="008412F5"/>
    <w:pPr>
      <w:widowControl w:val="0"/>
      <w:suppressAutoHyphens/>
      <w:spacing w:after="0" w:line="240" w:lineRule="auto"/>
    </w:pPr>
    <w:rPr>
      <w:rFonts w:ascii="Arial" w:eastAsia="SimSun" w:hAnsi="Arial" w:cs="Mangal"/>
      <w:caps/>
      <w:spacing w:val="-6"/>
      <w:kern w:val="26"/>
      <w:sz w:val="26"/>
      <w:szCs w:val="18"/>
      <w:lang w:val="sq-AL" w:eastAsia="zh-CN" w:bidi="hi-IN"/>
    </w:rPr>
  </w:style>
  <w:style w:type="paragraph" w:customStyle="1" w:styleId="CVLabel1">
    <w:name w:val="CV Label 1"/>
    <w:basedOn w:val="Normal"/>
    <w:rsid w:val="008412F5"/>
    <w:pPr>
      <w:widowControl w:val="0"/>
      <w:suppressAutoHyphens/>
      <w:spacing w:after="0" w:line="240" w:lineRule="auto"/>
      <w:jc w:val="right"/>
    </w:pPr>
    <w:rPr>
      <w:rFonts w:ascii="Arial" w:eastAsia="SimSun" w:hAnsi="Arial" w:cs="Mangal"/>
      <w:caps/>
      <w:color w:val="0E4194"/>
      <w:spacing w:val="-6"/>
      <w:kern w:val="1"/>
      <w:sz w:val="18"/>
      <w:szCs w:val="24"/>
      <w:lang w:val="sq-AL" w:eastAsia="zh-CN" w:bidi="hi-IN"/>
    </w:rPr>
  </w:style>
  <w:style w:type="paragraph" w:customStyle="1" w:styleId="CVLabel2">
    <w:name w:val="CV Label 2"/>
    <w:basedOn w:val="CVLabel1"/>
    <w:rsid w:val="008412F5"/>
    <w:pPr>
      <w:spacing w:line="100" w:lineRule="atLeast"/>
    </w:pPr>
    <w:rPr>
      <w:caps w:val="0"/>
      <w:kern w:val="18"/>
    </w:rPr>
  </w:style>
  <w:style w:type="paragraph" w:customStyle="1" w:styleId="CVBodyText">
    <w:name w:val="CV Body Text"/>
    <w:basedOn w:val="ECVNameField"/>
    <w:rsid w:val="008412F5"/>
    <w:pPr>
      <w:spacing w:after="120"/>
    </w:pPr>
    <w:rPr>
      <w:noProof/>
      <w:sz w:val="18"/>
      <w:lang w:eastAsia="en-US" w:bidi="ar-SA"/>
    </w:rPr>
  </w:style>
  <w:style w:type="paragraph" w:customStyle="1" w:styleId="CVHeading2">
    <w:name w:val="CV Heading 2"/>
    <w:basedOn w:val="CVHeading1"/>
    <w:rsid w:val="008412F5"/>
    <w:rPr>
      <w:caps w:val="0"/>
      <w:color w:val="0E4194"/>
      <w:sz w:val="22"/>
    </w:rPr>
  </w:style>
  <w:style w:type="paragraph" w:customStyle="1" w:styleId="CVBodyTextNoSpace">
    <w:name w:val="CV Body Text NoSpace"/>
    <w:basedOn w:val="CVBodyText"/>
    <w:rsid w:val="008412F5"/>
    <w:pPr>
      <w:spacing w:after="0"/>
    </w:pPr>
  </w:style>
  <w:style w:type="paragraph" w:customStyle="1" w:styleId="CVNormal">
    <w:name w:val="CV Normal"/>
    <w:basedOn w:val="Normal"/>
    <w:rsid w:val="008412F5"/>
    <w:pPr>
      <w:suppressAutoHyphens/>
      <w:spacing w:after="0" w:line="240" w:lineRule="auto"/>
      <w:ind w:left="113" w:right="113"/>
    </w:pPr>
    <w:rPr>
      <w:rFonts w:ascii="Arial Narrow" w:eastAsia="Times New Roman" w:hAnsi="Arial Narrow" w:cs="Times New Roman"/>
      <w:sz w:val="20"/>
      <w:szCs w:val="20"/>
      <w:lang w:val="sq-AL" w:eastAsia="ar-SA"/>
    </w:rPr>
  </w:style>
  <w:style w:type="paragraph" w:customStyle="1" w:styleId="Achievement">
    <w:name w:val="Achievement"/>
    <w:basedOn w:val="BodyText"/>
    <w:rsid w:val="008412F5"/>
    <w:pPr>
      <w:numPr>
        <w:numId w:val="1"/>
      </w:numPr>
      <w:tabs>
        <w:tab w:val="clear" w:pos="360"/>
      </w:tabs>
      <w:spacing w:after="60" w:line="220" w:lineRule="atLeast"/>
      <w:ind w:left="0" w:firstLine="0"/>
      <w:jc w:val="both"/>
    </w:pPr>
    <w:rPr>
      <w:rFonts w:ascii="Arial" w:eastAsia="Times New Roman" w:hAnsi="Arial" w:cs="Times New Roman"/>
      <w:spacing w:val="-5"/>
      <w:sz w:val="20"/>
      <w:szCs w:val="20"/>
    </w:rPr>
  </w:style>
  <w:style w:type="paragraph" w:customStyle="1" w:styleId="BankNormal">
    <w:name w:val="BankNormal"/>
    <w:basedOn w:val="Normal"/>
    <w:rsid w:val="008412F5"/>
    <w:pPr>
      <w:spacing w:after="240" w:line="240" w:lineRule="auto"/>
    </w:pPr>
    <w:rPr>
      <w:rFonts w:ascii="Times New Roman" w:eastAsia="Times New Roman" w:hAnsi="Times New Roman" w:cs="Times New Roman"/>
      <w:sz w:val="24"/>
      <w:szCs w:val="24"/>
      <w:lang w:val="sq-AL" w:eastAsia="en-GB"/>
    </w:rPr>
  </w:style>
  <w:style w:type="character" w:styleId="PageNumber">
    <w:name w:val="page number"/>
    <w:basedOn w:val="DefaultParagraphFont"/>
    <w:semiHidden/>
    <w:unhideWhenUsed/>
    <w:rsid w:val="008412F5"/>
  </w:style>
  <w:style w:type="character" w:styleId="FollowedHyperlink">
    <w:name w:val="FollowedHyperlink"/>
    <w:basedOn w:val="DefaultParagraphFont"/>
    <w:uiPriority w:val="99"/>
    <w:semiHidden/>
    <w:unhideWhenUsed/>
    <w:rsid w:val="008412F5"/>
    <w:rPr>
      <w:color w:val="954F72" w:themeColor="followedHyperlink"/>
      <w:u w:val="single"/>
    </w:rPr>
  </w:style>
  <w:style w:type="paragraph" w:styleId="BalloonText">
    <w:name w:val="Balloon Text"/>
    <w:basedOn w:val="Normal"/>
    <w:link w:val="BalloonTextChar"/>
    <w:uiPriority w:val="99"/>
    <w:semiHidden/>
    <w:unhideWhenUsed/>
    <w:rsid w:val="008412F5"/>
    <w:pPr>
      <w:spacing w:after="0" w:line="240" w:lineRule="auto"/>
    </w:pPr>
    <w:rPr>
      <w:rFonts w:ascii="Segoe UI" w:hAnsi="Segoe UI" w:cs="Segoe UI"/>
      <w:sz w:val="18"/>
      <w:szCs w:val="18"/>
      <w:lang w:val="sq-AL"/>
    </w:rPr>
  </w:style>
  <w:style w:type="character" w:customStyle="1" w:styleId="BalloonTextChar">
    <w:name w:val="Balloon Text Char"/>
    <w:basedOn w:val="DefaultParagraphFont"/>
    <w:link w:val="BalloonText"/>
    <w:uiPriority w:val="99"/>
    <w:semiHidden/>
    <w:rsid w:val="008412F5"/>
    <w:rPr>
      <w:rFonts w:ascii="Segoe UI" w:eastAsia="MS Mincho" w:hAnsi="Segoe UI" w:cs="Segoe UI"/>
      <w:kern w:val="0"/>
      <w:sz w:val="18"/>
      <w:szCs w:val="18"/>
      <w:lang w:val="sq-AL"/>
      <w14:ligatures w14:val="none"/>
    </w:rPr>
  </w:style>
  <w:style w:type="character" w:styleId="CommentReference">
    <w:name w:val="annotation reference"/>
    <w:basedOn w:val="DefaultParagraphFont"/>
    <w:uiPriority w:val="99"/>
    <w:semiHidden/>
    <w:unhideWhenUsed/>
    <w:rsid w:val="008412F5"/>
    <w:rPr>
      <w:sz w:val="16"/>
      <w:szCs w:val="16"/>
    </w:rPr>
  </w:style>
  <w:style w:type="paragraph" w:styleId="CommentText">
    <w:name w:val="annotation text"/>
    <w:basedOn w:val="Normal"/>
    <w:link w:val="CommentTextChar"/>
    <w:uiPriority w:val="99"/>
    <w:unhideWhenUsed/>
    <w:rsid w:val="008412F5"/>
    <w:pPr>
      <w:spacing w:after="200" w:line="240" w:lineRule="auto"/>
    </w:pPr>
    <w:rPr>
      <w:sz w:val="20"/>
      <w:szCs w:val="20"/>
      <w:lang w:val="sq-AL"/>
    </w:rPr>
  </w:style>
  <w:style w:type="character" w:customStyle="1" w:styleId="CommentTextChar">
    <w:name w:val="Comment Text Char"/>
    <w:basedOn w:val="DefaultParagraphFont"/>
    <w:link w:val="CommentText"/>
    <w:uiPriority w:val="99"/>
    <w:rsid w:val="008412F5"/>
    <w:rPr>
      <w:rFonts w:eastAsia="MS Mincho"/>
      <w:kern w:val="0"/>
      <w:sz w:val="20"/>
      <w:szCs w:val="20"/>
      <w:lang w:val="sq-AL"/>
      <w14:ligatures w14:val="none"/>
    </w:rPr>
  </w:style>
  <w:style w:type="paragraph" w:styleId="CommentSubject">
    <w:name w:val="annotation subject"/>
    <w:basedOn w:val="CommentText"/>
    <w:next w:val="CommentText"/>
    <w:link w:val="CommentSubjectChar"/>
    <w:uiPriority w:val="99"/>
    <w:semiHidden/>
    <w:unhideWhenUsed/>
    <w:rsid w:val="008412F5"/>
    <w:rPr>
      <w:b/>
      <w:bCs/>
    </w:rPr>
  </w:style>
  <w:style w:type="character" w:customStyle="1" w:styleId="CommentSubjectChar">
    <w:name w:val="Comment Subject Char"/>
    <w:basedOn w:val="CommentTextChar"/>
    <w:link w:val="CommentSubject"/>
    <w:uiPriority w:val="99"/>
    <w:semiHidden/>
    <w:rsid w:val="008412F5"/>
    <w:rPr>
      <w:rFonts w:eastAsia="MS Mincho"/>
      <w:b/>
      <w:bCs/>
      <w:kern w:val="0"/>
      <w:sz w:val="20"/>
      <w:szCs w:val="20"/>
      <w:lang w:val="sq-AL"/>
      <w14:ligatures w14:val="none"/>
    </w:rPr>
  </w:style>
  <w:style w:type="character" w:customStyle="1" w:styleId="UnresolvedMention2">
    <w:name w:val="Unresolved Mention2"/>
    <w:basedOn w:val="DefaultParagraphFont"/>
    <w:uiPriority w:val="99"/>
    <w:semiHidden/>
    <w:unhideWhenUsed/>
    <w:rsid w:val="008412F5"/>
    <w:rPr>
      <w:color w:val="605E5C"/>
      <w:shd w:val="clear" w:color="auto" w:fill="E1DFDD"/>
    </w:rPr>
  </w:style>
  <w:style w:type="paragraph" w:customStyle="1" w:styleId="BVIfnrCarCarCarCarChar">
    <w:name w:val="BVI fnr Car Car Car Car Char"/>
    <w:basedOn w:val="Normal"/>
    <w:link w:val="FootnoteReference"/>
    <w:uiPriority w:val="99"/>
    <w:semiHidden/>
    <w:rsid w:val="008412F5"/>
    <w:pPr>
      <w:spacing w:line="240" w:lineRule="exact"/>
    </w:pPr>
    <w:rPr>
      <w:rFonts w:eastAsiaTheme="minorHAnsi"/>
      <w:kern w:val="2"/>
      <w:sz w:val="24"/>
      <w:szCs w:val="24"/>
      <w:vertAlign w:val="superscript"/>
      <w:lang w:val="en-AL"/>
      <w14:ligatures w14:val="standardContextual"/>
    </w:rPr>
  </w:style>
  <w:style w:type="character" w:styleId="Emphasis">
    <w:name w:val="Emphasis"/>
    <w:basedOn w:val="DefaultParagraphFont"/>
    <w:uiPriority w:val="20"/>
    <w:qFormat/>
    <w:rsid w:val="008412F5"/>
    <w:rPr>
      <w:i/>
      <w:iCs/>
    </w:rPr>
  </w:style>
  <w:style w:type="character" w:styleId="Strong">
    <w:name w:val="Strong"/>
    <w:basedOn w:val="DefaultParagraphFont"/>
    <w:uiPriority w:val="22"/>
    <w:qFormat/>
    <w:rsid w:val="008412F5"/>
    <w:rPr>
      <w:b/>
      <w:bCs/>
    </w:rPr>
  </w:style>
  <w:style w:type="paragraph" w:styleId="Revision">
    <w:name w:val="Revision"/>
    <w:hidden/>
    <w:uiPriority w:val="99"/>
    <w:semiHidden/>
    <w:rsid w:val="008412F5"/>
    <w:rPr>
      <w:rFonts w:eastAsia="MS Mincho"/>
      <w:kern w:val="0"/>
      <w:sz w:val="22"/>
      <w:szCs w:val="22"/>
      <w:lang w:val="en-US"/>
      <w14:ligatures w14:val="none"/>
    </w:rPr>
  </w:style>
  <w:style w:type="character" w:customStyle="1" w:styleId="selectable-text">
    <w:name w:val="selectable-text"/>
    <w:basedOn w:val="DefaultParagraphFont"/>
    <w:rsid w:val="008412F5"/>
  </w:style>
  <w:style w:type="paragraph" w:customStyle="1" w:styleId="Ndarja1">
    <w:name w:val="Ndarja 1"/>
    <w:basedOn w:val="Normal"/>
    <w:link w:val="Ndarja1Char"/>
    <w:autoRedefine/>
    <w:qFormat/>
    <w:rsid w:val="008412F5"/>
    <w:pPr>
      <w:spacing w:after="0" w:line="240" w:lineRule="auto"/>
      <w:jc w:val="both"/>
    </w:pPr>
    <w:rPr>
      <w:rFonts w:ascii="Times New Roman" w:hAnsi="Times New Roman" w:cs="Times New Roman"/>
      <w:sz w:val="24"/>
      <w:szCs w:val="24"/>
      <w:shd w:val="clear" w:color="auto" w:fill="FFFFFF"/>
      <w:lang w:val="sq-AL" w:eastAsia="x-none"/>
    </w:rPr>
  </w:style>
  <w:style w:type="character" w:customStyle="1" w:styleId="Ndarja1Char">
    <w:name w:val="Ndarja 1 Char"/>
    <w:link w:val="Ndarja1"/>
    <w:rsid w:val="008412F5"/>
    <w:rPr>
      <w:rFonts w:ascii="Times New Roman" w:eastAsia="MS Mincho" w:hAnsi="Times New Roman" w:cs="Times New Roman"/>
      <w:kern w:val="0"/>
      <w:lang w:val="sq-AL" w:eastAsia="x-none"/>
      <w14:ligatures w14:val="none"/>
    </w:rPr>
  </w:style>
  <w:style w:type="character" w:styleId="PlaceholderText">
    <w:name w:val="Placeholder Text"/>
    <w:basedOn w:val="DefaultParagraphFont"/>
    <w:uiPriority w:val="99"/>
    <w:semiHidden/>
    <w:rsid w:val="008412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7111</Words>
  <Characters>39112</Characters>
  <Application>Microsoft Office Word</Application>
  <DocSecurity>0</DocSecurity>
  <Lines>630</Lines>
  <Paragraphs>242</Paragraphs>
  <ScaleCrop>false</ScaleCrop>
  <Company/>
  <LinksUpToDate>false</LinksUpToDate>
  <CharactersWithSpaces>45981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Sonila Limaj</dc:creator>
  <cp:keywords/>
  <dc:description/>
  <cp:lastModifiedBy>Sonila Limaj</cp:lastModifiedBy>
  <cp:revision>1</cp:revision>
  <dcterms:created xsi:type="dcterms:W3CDTF">2026-04-15T09:37:00Z</dcterms:created>
  <dcterms:modified xsi:type="dcterms:W3CDTF">2026-04-15T09:38:00Z</dcterms:modified>
</cp:coreProperties>
</file>