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22CF" w14:textId="77777777" w:rsidR="009252FF" w:rsidRPr="00327310" w:rsidRDefault="009252FF" w:rsidP="009252FF">
      <w:pPr>
        <w:pStyle w:val="ListParagraph"/>
        <w:spacing w:after="0" w:line="240" w:lineRule="auto"/>
        <w:ind w:left="0" w:firstLine="284"/>
        <w:jc w:val="center"/>
        <w:rPr>
          <w:rFonts w:ascii="Garamond" w:hAnsi="Garamond"/>
          <w:bCs/>
          <w:sz w:val="24"/>
          <w:szCs w:val="24"/>
          <w:lang w:val="sq-AL"/>
        </w:rPr>
      </w:pPr>
      <w:r w:rsidRPr="00327310">
        <w:rPr>
          <w:rFonts w:ascii="Garamond" w:hAnsi="Garamond"/>
          <w:bCs/>
          <w:sz w:val="24"/>
          <w:szCs w:val="24"/>
          <w:lang w:val="sq-AL"/>
        </w:rPr>
        <w:t>SHTOJCA 3</w:t>
      </w:r>
    </w:p>
    <w:p w14:paraId="3FFB5104" w14:textId="77777777" w:rsidR="009252FF" w:rsidRPr="00327310" w:rsidRDefault="009252FF" w:rsidP="009252FF">
      <w:pPr>
        <w:pStyle w:val="ListParagraph"/>
        <w:spacing w:after="0" w:line="240" w:lineRule="auto"/>
        <w:ind w:left="0" w:firstLine="284"/>
        <w:jc w:val="center"/>
        <w:rPr>
          <w:rFonts w:ascii="Garamond" w:hAnsi="Garamond"/>
          <w:bCs/>
          <w:sz w:val="24"/>
          <w:szCs w:val="24"/>
          <w:lang w:val="sq-AL"/>
        </w:rPr>
      </w:pPr>
      <w:r w:rsidRPr="00327310">
        <w:rPr>
          <w:rFonts w:ascii="Garamond" w:hAnsi="Garamond"/>
          <w:bCs/>
          <w:sz w:val="24"/>
          <w:szCs w:val="24"/>
          <w:lang w:val="sq-AL"/>
        </w:rPr>
        <w:t>FORMATI I RAPORTIT TË VETËVLERËSIMIT</w:t>
      </w:r>
    </w:p>
    <w:p w14:paraId="275FDCEC" w14:textId="77777777" w:rsidR="009252FF" w:rsidRPr="00327310" w:rsidRDefault="009252FF" w:rsidP="009252FF">
      <w:pPr>
        <w:pStyle w:val="ListParagraph"/>
        <w:spacing w:after="0" w:line="240" w:lineRule="auto"/>
        <w:ind w:left="0" w:firstLine="284"/>
        <w:jc w:val="center"/>
        <w:rPr>
          <w:rFonts w:ascii="Garamond" w:hAnsi="Garamond"/>
          <w:b/>
          <w:bCs/>
          <w:sz w:val="24"/>
          <w:szCs w:val="24"/>
          <w:lang w:val="sq-AL"/>
        </w:rPr>
      </w:pPr>
    </w:p>
    <w:p w14:paraId="23AB14BD" w14:textId="77777777" w:rsidR="009252FF" w:rsidRPr="00327310" w:rsidRDefault="009252FF" w:rsidP="009252FF">
      <w:pPr>
        <w:pStyle w:val="ListParagraph"/>
        <w:spacing w:after="0" w:line="240" w:lineRule="auto"/>
        <w:ind w:left="0" w:firstLine="284"/>
        <w:jc w:val="center"/>
        <w:rPr>
          <w:rFonts w:ascii="Garamond" w:hAnsi="Garamond"/>
          <w:sz w:val="24"/>
          <w:szCs w:val="24"/>
          <w:lang w:val="sq-AL"/>
        </w:rPr>
      </w:pPr>
      <w:r w:rsidRPr="00327310">
        <w:rPr>
          <w:rFonts w:ascii="Garamond" w:hAnsi="Garamond"/>
          <w:sz w:val="24"/>
          <w:szCs w:val="24"/>
          <w:lang w:val="sq-AL"/>
        </w:rPr>
        <w:t>Logo e institucionit:</w:t>
      </w:r>
    </w:p>
    <w:p w14:paraId="754769AE" w14:textId="77777777" w:rsidR="009252FF" w:rsidRPr="00327310" w:rsidRDefault="009252FF" w:rsidP="009252FF">
      <w:pPr>
        <w:pStyle w:val="ListParagraph"/>
        <w:spacing w:after="0" w:line="240" w:lineRule="auto"/>
        <w:ind w:left="0" w:firstLine="284"/>
        <w:jc w:val="center"/>
        <w:rPr>
          <w:rFonts w:ascii="Garamond" w:hAnsi="Garamond"/>
          <w:sz w:val="24"/>
          <w:szCs w:val="24"/>
          <w:lang w:val="sq-AL"/>
        </w:rPr>
      </w:pPr>
      <w:r w:rsidRPr="00327310">
        <w:rPr>
          <w:rFonts w:ascii="Garamond" w:hAnsi="Garamond"/>
          <w:sz w:val="24"/>
          <w:szCs w:val="24"/>
          <w:lang w:val="sq-AL"/>
        </w:rPr>
        <w:t>Emri i institucionit:</w:t>
      </w:r>
    </w:p>
    <w:p w14:paraId="4FAE1BF1" w14:textId="77777777" w:rsidR="009252FF" w:rsidRPr="00327310" w:rsidRDefault="009252FF" w:rsidP="009252FF">
      <w:pPr>
        <w:pStyle w:val="ListParagraph"/>
        <w:spacing w:after="0" w:line="240" w:lineRule="auto"/>
        <w:ind w:left="0" w:firstLine="284"/>
        <w:jc w:val="both"/>
        <w:rPr>
          <w:rFonts w:ascii="Garamond" w:hAnsi="Garamond"/>
          <w:sz w:val="24"/>
          <w:szCs w:val="24"/>
          <w:lang w:val="sq-AL"/>
        </w:rPr>
      </w:pPr>
    </w:p>
    <w:p w14:paraId="6572BD65" w14:textId="77777777" w:rsidR="009252FF" w:rsidRPr="00327310" w:rsidRDefault="009252FF" w:rsidP="009252FF">
      <w:pPr>
        <w:pStyle w:val="ListParagraph"/>
        <w:spacing w:after="0" w:line="240" w:lineRule="auto"/>
        <w:ind w:left="0" w:firstLine="284"/>
        <w:jc w:val="center"/>
        <w:rPr>
          <w:rFonts w:ascii="Garamond" w:hAnsi="Garamond"/>
          <w:sz w:val="24"/>
          <w:szCs w:val="24"/>
          <w:lang w:val="sq-AL"/>
        </w:rPr>
      </w:pPr>
      <w:r w:rsidRPr="00327310">
        <w:rPr>
          <w:rFonts w:ascii="Garamond" w:hAnsi="Garamond"/>
          <w:sz w:val="24"/>
          <w:szCs w:val="24"/>
          <w:lang w:val="sq-AL"/>
        </w:rPr>
        <w:t>Raport:</w:t>
      </w:r>
    </w:p>
    <w:p w14:paraId="7DD8CB84" w14:textId="77777777" w:rsidR="009252FF" w:rsidRPr="00327310" w:rsidRDefault="009252FF" w:rsidP="009252FF">
      <w:pPr>
        <w:pStyle w:val="ListParagraph"/>
        <w:spacing w:after="0" w:line="240" w:lineRule="auto"/>
        <w:ind w:left="0" w:firstLine="284"/>
        <w:jc w:val="center"/>
        <w:rPr>
          <w:rFonts w:ascii="Garamond" w:hAnsi="Garamond"/>
          <w:sz w:val="24"/>
          <w:szCs w:val="24"/>
          <w:lang w:val="sq-AL"/>
        </w:rPr>
      </w:pPr>
      <w:r w:rsidRPr="00327310">
        <w:rPr>
          <w:rFonts w:ascii="Garamond" w:hAnsi="Garamond"/>
          <w:sz w:val="24"/>
          <w:szCs w:val="24"/>
          <w:lang w:val="sq-AL"/>
        </w:rPr>
        <w:t>Vetëvlerësimi i institucionit</w:t>
      </w:r>
    </w:p>
    <w:p w14:paraId="6024D790" w14:textId="77777777" w:rsidR="009252FF" w:rsidRDefault="009252FF" w:rsidP="009252FF">
      <w:pPr>
        <w:pStyle w:val="ListParagraph"/>
        <w:spacing w:after="0" w:line="240" w:lineRule="auto"/>
        <w:ind w:left="0" w:firstLine="284"/>
        <w:jc w:val="both"/>
        <w:rPr>
          <w:rFonts w:ascii="Garamond" w:hAnsi="Garamond"/>
          <w:sz w:val="24"/>
          <w:szCs w:val="24"/>
          <w:lang w:val="sq-AL"/>
        </w:rPr>
      </w:pPr>
    </w:p>
    <w:p w14:paraId="250FA34C" w14:textId="261A75C5" w:rsidR="009252FF" w:rsidRPr="00327310" w:rsidRDefault="009252FF" w:rsidP="009252FF">
      <w:pPr>
        <w:pStyle w:val="ListParagraph"/>
        <w:spacing w:after="0" w:line="240" w:lineRule="auto"/>
        <w:ind w:left="0" w:firstLine="284"/>
        <w:jc w:val="both"/>
        <w:rPr>
          <w:rFonts w:ascii="Garamond" w:hAnsi="Garamond"/>
          <w:sz w:val="24"/>
          <w:szCs w:val="24"/>
          <w:lang w:val="sq-AL"/>
        </w:rPr>
      </w:pPr>
      <w:r w:rsidRPr="00327310">
        <w:rPr>
          <w:rFonts w:ascii="Garamond" w:hAnsi="Garamond"/>
          <w:sz w:val="24"/>
          <w:szCs w:val="24"/>
          <w:lang w:val="sq-AL"/>
        </w:rPr>
        <w:t>Periudha:</w:t>
      </w:r>
    </w:p>
    <w:p w14:paraId="63F86DEE" w14:textId="77777777" w:rsidR="009252FF" w:rsidRPr="00327310" w:rsidRDefault="009252FF" w:rsidP="009252FF">
      <w:pPr>
        <w:pStyle w:val="ListParagraph"/>
        <w:spacing w:after="0" w:line="240" w:lineRule="auto"/>
        <w:ind w:left="0" w:firstLine="284"/>
        <w:jc w:val="both"/>
        <w:rPr>
          <w:rFonts w:ascii="Garamond" w:hAnsi="Garamond"/>
          <w:b/>
          <w:bCs/>
          <w:sz w:val="24"/>
          <w:szCs w:val="24"/>
          <w:lang w:val="sq-AL"/>
        </w:rPr>
      </w:pPr>
      <w:r w:rsidRPr="00327310">
        <w:rPr>
          <w:rFonts w:ascii="Garamond" w:hAnsi="Garamond"/>
          <w:b/>
          <w:bCs/>
          <w:sz w:val="24"/>
          <w:szCs w:val="24"/>
          <w:lang w:val="sq-AL"/>
        </w:rPr>
        <w:t>Përgatitur nga:</w:t>
      </w:r>
    </w:p>
    <w:p w14:paraId="4C9E2834" w14:textId="77777777" w:rsidR="009252FF" w:rsidRPr="00327310" w:rsidRDefault="009252FF" w:rsidP="009252FF">
      <w:pPr>
        <w:pStyle w:val="ListParagraph"/>
        <w:spacing w:after="0" w:line="240" w:lineRule="auto"/>
        <w:ind w:left="0" w:firstLine="284"/>
        <w:jc w:val="both"/>
        <w:rPr>
          <w:rFonts w:ascii="Garamond" w:hAnsi="Garamond"/>
          <w:sz w:val="24"/>
          <w:szCs w:val="24"/>
          <w:lang w:val="sq-AL"/>
        </w:rPr>
      </w:pPr>
      <w:r w:rsidRPr="00327310">
        <w:rPr>
          <w:rFonts w:ascii="Garamond" w:hAnsi="Garamond"/>
          <w:sz w:val="24"/>
          <w:szCs w:val="24"/>
          <w:lang w:val="sq-AL"/>
        </w:rPr>
        <w:t>Ekipi qendror i vetëvlerësimit:</w:t>
      </w:r>
    </w:p>
    <w:p w14:paraId="6A7921DD" w14:textId="77777777" w:rsidR="009252FF" w:rsidRPr="00327310" w:rsidRDefault="009252FF" w:rsidP="009252FF">
      <w:pPr>
        <w:pStyle w:val="ListParagraph"/>
        <w:spacing w:after="0" w:line="240" w:lineRule="auto"/>
        <w:ind w:left="0" w:firstLine="284"/>
        <w:jc w:val="both"/>
        <w:rPr>
          <w:rFonts w:ascii="Garamond" w:hAnsi="Garamond"/>
          <w:sz w:val="24"/>
          <w:szCs w:val="24"/>
          <w:lang w:val="sq-AL"/>
        </w:rPr>
      </w:pPr>
      <w:r w:rsidRPr="00327310">
        <w:rPr>
          <w:rFonts w:ascii="Garamond" w:hAnsi="Garamond"/>
          <w:sz w:val="24"/>
          <w:szCs w:val="24"/>
          <w:lang w:val="sq-AL"/>
        </w:rPr>
        <w:t>1. Xxxxx Yyyy kryetar;</w:t>
      </w:r>
    </w:p>
    <w:p w14:paraId="4415065C" w14:textId="77777777" w:rsidR="009252FF" w:rsidRPr="00327310" w:rsidRDefault="009252FF" w:rsidP="009252FF">
      <w:pPr>
        <w:pStyle w:val="ListParagraph"/>
        <w:spacing w:after="0" w:line="240" w:lineRule="auto"/>
        <w:ind w:left="0" w:firstLine="284"/>
        <w:jc w:val="both"/>
        <w:rPr>
          <w:rFonts w:ascii="Garamond" w:hAnsi="Garamond"/>
          <w:sz w:val="24"/>
          <w:szCs w:val="24"/>
          <w:lang w:val="sq-AL"/>
        </w:rPr>
      </w:pPr>
      <w:r w:rsidRPr="00327310">
        <w:rPr>
          <w:rFonts w:ascii="Garamond" w:hAnsi="Garamond"/>
          <w:sz w:val="24"/>
          <w:szCs w:val="24"/>
          <w:lang w:val="sq-AL"/>
        </w:rPr>
        <w:t>2. Xxxx Yyyy anëtar;</w:t>
      </w:r>
    </w:p>
    <w:p w14:paraId="75A1C08D" w14:textId="77777777" w:rsidR="009252FF" w:rsidRPr="00327310" w:rsidRDefault="009252FF" w:rsidP="009252FF">
      <w:pPr>
        <w:pStyle w:val="ListParagraph"/>
        <w:spacing w:after="0" w:line="240" w:lineRule="auto"/>
        <w:ind w:left="0" w:firstLine="284"/>
        <w:jc w:val="both"/>
        <w:rPr>
          <w:rFonts w:ascii="Garamond" w:hAnsi="Garamond"/>
          <w:sz w:val="24"/>
          <w:szCs w:val="24"/>
          <w:lang w:val="sq-AL"/>
        </w:rPr>
      </w:pPr>
      <w:r w:rsidRPr="00327310">
        <w:rPr>
          <w:rFonts w:ascii="Garamond" w:hAnsi="Garamond"/>
          <w:sz w:val="24"/>
          <w:szCs w:val="24"/>
          <w:lang w:val="sq-AL"/>
        </w:rPr>
        <w:t>3. Xxxx Yyyy anëtar.</w:t>
      </w:r>
    </w:p>
    <w:p w14:paraId="2D98B76F" w14:textId="77777777" w:rsidR="009252FF" w:rsidRDefault="009252FF" w:rsidP="009252FF">
      <w:pPr>
        <w:pStyle w:val="ListParagraph"/>
        <w:spacing w:after="0" w:line="240" w:lineRule="auto"/>
        <w:ind w:left="0"/>
        <w:jc w:val="both"/>
        <w:rPr>
          <w:rFonts w:ascii="Garamond" w:hAnsi="Garamond"/>
          <w:sz w:val="24"/>
          <w:szCs w:val="24"/>
          <w:lang w:val="sq-AL"/>
        </w:rPr>
      </w:pPr>
    </w:p>
    <w:p w14:paraId="7D100EB7" w14:textId="77777777" w:rsidR="009252FF" w:rsidRDefault="009252FF" w:rsidP="009252FF">
      <w:pPr>
        <w:pStyle w:val="ListParagraph"/>
        <w:spacing w:after="0" w:line="240" w:lineRule="auto"/>
        <w:ind w:left="0"/>
        <w:jc w:val="both"/>
        <w:rPr>
          <w:rFonts w:ascii="Garamond" w:hAnsi="Garamond"/>
          <w:sz w:val="24"/>
          <w:szCs w:val="24"/>
          <w:lang w:val="sq-AL"/>
        </w:rPr>
      </w:pPr>
      <w:r w:rsidRPr="00327310">
        <w:rPr>
          <w:rFonts w:ascii="Garamond" w:hAnsi="Garamond"/>
          <w:sz w:val="24"/>
          <w:szCs w:val="24"/>
          <w:lang w:val="sq-AL"/>
        </w:rPr>
        <w:t>Hartimi i këtij raporti nuk do të ishte i mundur pa mbështetjen e të gjithë stafit të institucionit, të cilët i falënderojmë për përkushtimin dhe energjinë që i kanë kushtuar këtij procesi të rëndësishëm.</w:t>
      </w:r>
    </w:p>
    <w:p w14:paraId="0A0713F1" w14:textId="41FF5FEE" w:rsidR="009252FF" w:rsidRDefault="009252FF" w:rsidP="009252FF">
      <w:pPr>
        <w:pStyle w:val="ListParagraph"/>
        <w:spacing w:after="0" w:line="240" w:lineRule="auto"/>
        <w:ind w:left="0"/>
        <w:jc w:val="both"/>
        <w:rPr>
          <w:rFonts w:ascii="Garamond" w:hAnsi="Garamond"/>
          <w:sz w:val="24"/>
          <w:szCs w:val="24"/>
          <w:lang w:val="sq-AL"/>
        </w:rPr>
      </w:pPr>
      <w:r w:rsidRPr="009252FF">
        <w:rPr>
          <w:rFonts w:ascii="Garamond" w:hAnsi="Garamond"/>
          <w:sz w:val="24"/>
          <w:szCs w:val="24"/>
          <w:lang w:val="sq-AL"/>
        </w:rPr>
        <w:t>Në hartimin e raportit kanë kontribuar të gjithë anëtarët e stafit, si më poshtë:</w:t>
      </w:r>
    </w:p>
    <w:p w14:paraId="757C1494" w14:textId="77777777" w:rsidR="009252FF" w:rsidRPr="009252FF" w:rsidRDefault="009252FF" w:rsidP="009252FF">
      <w:pPr>
        <w:pStyle w:val="ListParagraph"/>
        <w:spacing w:after="0" w:line="240" w:lineRule="auto"/>
        <w:ind w:left="0"/>
        <w:jc w:val="both"/>
        <w:rPr>
          <w:rFonts w:ascii="Garamond" w:hAnsi="Garamond"/>
          <w:sz w:val="24"/>
          <w:szCs w:val="24"/>
          <w:lang w:val="sq-AL"/>
        </w:rPr>
      </w:pPr>
    </w:p>
    <w:p w14:paraId="4F334BB3" w14:textId="77777777" w:rsidR="009252FF" w:rsidRDefault="009252FF" w:rsidP="009252FF">
      <w:pPr>
        <w:spacing w:after="0" w:line="240" w:lineRule="auto"/>
        <w:jc w:val="both"/>
        <w:rPr>
          <w:rFonts w:ascii="Garamond" w:hAnsi="Garamond"/>
          <w:b/>
          <w:bCs/>
          <w:sz w:val="24"/>
          <w:szCs w:val="24"/>
          <w:lang w:val="sq-AL"/>
        </w:rPr>
      </w:pPr>
    </w:p>
    <w:p w14:paraId="4C94AC90" w14:textId="239967E4" w:rsidR="009252FF" w:rsidRPr="009252FF" w:rsidRDefault="009252FF" w:rsidP="009252FF">
      <w:pPr>
        <w:spacing w:after="0" w:line="240" w:lineRule="auto"/>
        <w:jc w:val="both"/>
        <w:rPr>
          <w:rFonts w:ascii="Garamond" w:hAnsi="Garamond"/>
          <w:b/>
          <w:bCs/>
          <w:sz w:val="24"/>
          <w:szCs w:val="24"/>
          <w:lang w:val="sq-AL"/>
        </w:rPr>
      </w:pPr>
      <w:r w:rsidRPr="009252FF">
        <w:rPr>
          <w:rFonts w:ascii="Garamond" w:hAnsi="Garamond"/>
          <w:b/>
          <w:bCs/>
          <w:sz w:val="24"/>
          <w:szCs w:val="24"/>
          <w:lang w:val="sq-AL"/>
        </w:rPr>
        <w:t>Përmbledhje e vetëvlerësimit + analiza SWOT</w:t>
      </w:r>
    </w:p>
    <w:p w14:paraId="144A8134" w14:textId="38EFAC41" w:rsidR="009252FF" w:rsidRDefault="009252FF" w:rsidP="009252FF">
      <w:pPr>
        <w:pStyle w:val="ListParagraph"/>
        <w:spacing w:after="0" w:line="240" w:lineRule="auto"/>
        <w:ind w:left="0"/>
        <w:jc w:val="both"/>
        <w:rPr>
          <w:rFonts w:ascii="Garamond" w:hAnsi="Garamond"/>
          <w:sz w:val="24"/>
          <w:szCs w:val="24"/>
          <w:lang w:val="sq-AL"/>
        </w:rPr>
      </w:pPr>
      <w:r w:rsidRPr="00327310">
        <w:rPr>
          <w:rFonts w:ascii="Garamond" w:hAnsi="Garamond"/>
          <w:sz w:val="24"/>
          <w:szCs w:val="24"/>
          <w:lang w:val="sq-AL"/>
        </w:rPr>
        <w:t>Përmbledhja e procesit të vetëvlerësimit, me synim për të dhënë një pamje të shpejtë të vetëvlerësimit të institucionit, duke përfshirë gjendjen e institucionit, vlerësimin e tij duke u bazuar te rezultatet dhe te nevojat kyçe për përmirësim. Theksohen qartësisht dhe përmbledhtazi pikat e forta të treguesve të vetëvlerësuar dhe paraqiten se me sa efektivitet institucioni ka realizuar objektivat e parashikuara në planin vjetor të tij. Në të paraqiten gjithashtu edhe rekomandimet për të ardhmen.</w:t>
      </w:r>
    </w:p>
    <w:p w14:paraId="4A99EC19" w14:textId="7D111B1F" w:rsidR="009252FF" w:rsidRPr="009252FF" w:rsidRDefault="009252FF" w:rsidP="009252FF">
      <w:pPr>
        <w:spacing w:after="0" w:line="240" w:lineRule="auto"/>
        <w:jc w:val="both"/>
        <w:rPr>
          <w:rFonts w:ascii="Garamond" w:hAnsi="Garamond"/>
          <w:sz w:val="24"/>
          <w:szCs w:val="24"/>
          <w:lang w:val="sq-AL"/>
        </w:rPr>
      </w:pPr>
      <w:r w:rsidRPr="009252FF">
        <w:rPr>
          <w:rFonts w:ascii="Garamond" w:hAnsi="Garamond"/>
          <w:sz w:val="24"/>
          <w:szCs w:val="24"/>
          <w:lang w:val="sq-AL"/>
        </w:rPr>
        <w:t>Gjatësia e rekomanduar: 1–1 ½ faqe.</w:t>
      </w:r>
    </w:p>
    <w:p w14:paraId="4BC64593" w14:textId="77777777" w:rsidR="009252FF" w:rsidRDefault="009252FF" w:rsidP="009252FF">
      <w:pPr>
        <w:spacing w:after="0" w:line="240" w:lineRule="auto"/>
        <w:jc w:val="both"/>
        <w:rPr>
          <w:rFonts w:ascii="Garamond" w:hAnsi="Garamond"/>
          <w:b/>
          <w:bCs/>
          <w:sz w:val="24"/>
          <w:szCs w:val="24"/>
          <w:lang w:val="sq-AL"/>
        </w:rPr>
      </w:pPr>
    </w:p>
    <w:p w14:paraId="5E67B06F" w14:textId="77777777" w:rsidR="009252FF" w:rsidRDefault="009252FF" w:rsidP="009252FF">
      <w:pPr>
        <w:spacing w:after="0" w:line="240" w:lineRule="auto"/>
        <w:jc w:val="both"/>
        <w:rPr>
          <w:rFonts w:ascii="Garamond" w:hAnsi="Garamond"/>
          <w:b/>
          <w:bCs/>
          <w:sz w:val="24"/>
          <w:szCs w:val="24"/>
          <w:lang w:val="sq-AL"/>
        </w:rPr>
      </w:pPr>
    </w:p>
    <w:p w14:paraId="3C767BF0" w14:textId="215FFBF8" w:rsidR="009252FF" w:rsidRPr="009252FF" w:rsidRDefault="009252FF" w:rsidP="009252FF">
      <w:pPr>
        <w:spacing w:after="0" w:line="240" w:lineRule="auto"/>
        <w:jc w:val="both"/>
        <w:rPr>
          <w:rFonts w:ascii="Garamond" w:hAnsi="Garamond"/>
          <w:b/>
          <w:bCs/>
          <w:sz w:val="24"/>
          <w:szCs w:val="24"/>
          <w:lang w:val="sq-AL"/>
        </w:rPr>
      </w:pPr>
      <w:r w:rsidRPr="009252FF">
        <w:rPr>
          <w:rFonts w:ascii="Garamond" w:hAnsi="Garamond"/>
          <w:b/>
          <w:bCs/>
          <w:sz w:val="24"/>
          <w:szCs w:val="24"/>
          <w:lang w:val="sq-AL"/>
        </w:rPr>
        <w:t>Metodologjia</w:t>
      </w:r>
    </w:p>
    <w:p w14:paraId="01F82A8F" w14:textId="7A520DFD" w:rsidR="009252FF" w:rsidRDefault="009252FF" w:rsidP="009252FF">
      <w:pPr>
        <w:pStyle w:val="ListParagraph"/>
        <w:spacing w:after="0" w:line="240" w:lineRule="auto"/>
        <w:ind w:left="0"/>
        <w:jc w:val="both"/>
        <w:rPr>
          <w:rFonts w:ascii="Garamond" w:hAnsi="Garamond"/>
          <w:sz w:val="24"/>
          <w:szCs w:val="24"/>
          <w:lang w:val="sq-AL"/>
        </w:rPr>
      </w:pPr>
      <w:r w:rsidRPr="00327310">
        <w:rPr>
          <w:rFonts w:ascii="Garamond" w:hAnsi="Garamond"/>
          <w:sz w:val="24"/>
          <w:szCs w:val="24"/>
          <w:lang w:val="sq-AL"/>
        </w:rPr>
        <w:t xml:space="preserve">Në këtë pjesë paraqiten të gjitha mënyrat, format, hapat, metodat, teknikat e zbatuara gjatë procesit të vetëvlerësimit. Kjo pjesë nënvizon shkurtimisht procesin që është përdorur në institucion për </w:t>
      </w:r>
      <w:r w:rsidRPr="00327310">
        <w:rPr>
          <w:rFonts w:ascii="Garamond" w:hAnsi="Garamond"/>
          <w:b/>
          <w:bCs/>
          <w:i/>
          <w:iCs/>
          <w:sz w:val="24"/>
          <w:szCs w:val="24"/>
          <w:lang w:val="sq-AL"/>
        </w:rPr>
        <w:t>përgatitjen dhe për realizimin e vetëvlerësimit</w:t>
      </w:r>
      <w:r w:rsidRPr="00327310">
        <w:rPr>
          <w:rFonts w:ascii="Garamond" w:hAnsi="Garamond"/>
          <w:sz w:val="24"/>
          <w:szCs w:val="24"/>
          <w:lang w:val="sq-AL"/>
        </w:rPr>
        <w:t>.</w:t>
      </w:r>
      <w:r w:rsidRPr="00327310">
        <w:rPr>
          <w:rFonts w:ascii="Garamond" w:hAnsi="Garamond"/>
          <w:sz w:val="24"/>
          <w:szCs w:val="24"/>
          <w:vertAlign w:val="superscript"/>
          <w:lang w:val="sq-AL"/>
        </w:rPr>
        <w:footnoteReference w:id="1"/>
      </w:r>
      <w:r w:rsidRPr="00327310">
        <w:rPr>
          <w:rFonts w:ascii="Garamond" w:hAnsi="Garamond"/>
          <w:sz w:val="24"/>
          <w:szCs w:val="24"/>
          <w:lang w:val="sq-AL"/>
        </w:rPr>
        <w:t xml:space="preserve"> Në të mund të paraqiten ekipet që kanë punuar, si dhe veprimet e çdo ekipi pune të ngritur për përgatitjen dhe zhvillimin e procesit të vetëvlerësimit.</w:t>
      </w:r>
    </w:p>
    <w:p w14:paraId="10D37ACE" w14:textId="3B13CEFA" w:rsidR="009252FF" w:rsidRPr="009252FF" w:rsidRDefault="009252FF" w:rsidP="009252FF">
      <w:pPr>
        <w:spacing w:after="0" w:line="240" w:lineRule="auto"/>
        <w:jc w:val="both"/>
        <w:rPr>
          <w:rFonts w:ascii="Garamond" w:hAnsi="Garamond"/>
          <w:sz w:val="24"/>
          <w:szCs w:val="24"/>
          <w:lang w:val="sq-AL"/>
        </w:rPr>
      </w:pPr>
      <w:r w:rsidRPr="009252FF">
        <w:rPr>
          <w:rFonts w:ascii="Garamond" w:hAnsi="Garamond"/>
          <w:sz w:val="24"/>
          <w:szCs w:val="24"/>
          <w:lang w:val="sq-AL"/>
        </w:rPr>
        <w:t>Gjatësia e rekomanduar: ½ faqe.</w:t>
      </w:r>
    </w:p>
    <w:p w14:paraId="2A14D58A" w14:textId="77777777" w:rsidR="009252FF" w:rsidRDefault="009252FF" w:rsidP="009252FF">
      <w:pPr>
        <w:spacing w:after="0" w:line="240" w:lineRule="auto"/>
        <w:jc w:val="both"/>
        <w:rPr>
          <w:rFonts w:ascii="Garamond" w:hAnsi="Garamond"/>
          <w:b/>
          <w:bCs/>
          <w:sz w:val="24"/>
          <w:szCs w:val="24"/>
          <w:lang w:val="sq-AL"/>
        </w:rPr>
      </w:pPr>
    </w:p>
    <w:p w14:paraId="52E62948" w14:textId="77777777" w:rsidR="009252FF" w:rsidRDefault="009252FF" w:rsidP="009252FF">
      <w:pPr>
        <w:spacing w:after="0" w:line="240" w:lineRule="auto"/>
        <w:jc w:val="both"/>
        <w:rPr>
          <w:rFonts w:ascii="Garamond" w:hAnsi="Garamond"/>
          <w:b/>
          <w:bCs/>
          <w:sz w:val="24"/>
          <w:szCs w:val="24"/>
          <w:lang w:val="sq-AL"/>
        </w:rPr>
      </w:pPr>
    </w:p>
    <w:p w14:paraId="1C1AD94D" w14:textId="4AE8753B" w:rsidR="009252FF" w:rsidRPr="009252FF" w:rsidRDefault="009252FF" w:rsidP="009252FF">
      <w:pPr>
        <w:spacing w:after="0" w:line="240" w:lineRule="auto"/>
        <w:jc w:val="both"/>
        <w:rPr>
          <w:rFonts w:ascii="Garamond" w:hAnsi="Garamond"/>
          <w:b/>
          <w:bCs/>
          <w:sz w:val="24"/>
          <w:szCs w:val="24"/>
          <w:lang w:val="sq-AL"/>
        </w:rPr>
      </w:pPr>
      <w:r w:rsidRPr="009252FF">
        <w:rPr>
          <w:rFonts w:ascii="Garamond" w:hAnsi="Garamond"/>
          <w:b/>
          <w:bCs/>
          <w:sz w:val="24"/>
          <w:szCs w:val="24"/>
          <w:lang w:val="sq-AL"/>
        </w:rPr>
        <w:t>Të dhëna për institucionin</w:t>
      </w:r>
    </w:p>
    <w:p w14:paraId="4D0F15BF" w14:textId="7C50DC3B" w:rsidR="009252FF" w:rsidRPr="00327310" w:rsidRDefault="009252FF" w:rsidP="009252FF">
      <w:pPr>
        <w:pStyle w:val="ListParagraph"/>
        <w:spacing w:after="0" w:line="240" w:lineRule="auto"/>
        <w:ind w:left="0"/>
        <w:jc w:val="both"/>
        <w:rPr>
          <w:rFonts w:ascii="Garamond" w:hAnsi="Garamond"/>
          <w:sz w:val="24"/>
          <w:szCs w:val="24"/>
          <w:lang w:val="sq-AL"/>
        </w:rPr>
      </w:pPr>
      <w:r w:rsidRPr="00327310">
        <w:rPr>
          <w:rFonts w:ascii="Garamond" w:hAnsi="Garamond"/>
          <w:sz w:val="24"/>
          <w:szCs w:val="24"/>
          <w:lang w:val="sq-AL"/>
        </w:rPr>
        <w:t xml:space="preserve">Kjo pjesë paraqet të </w:t>
      </w:r>
      <w:r w:rsidRPr="00327310">
        <w:rPr>
          <w:rFonts w:ascii="Garamond" w:hAnsi="Garamond"/>
          <w:b/>
          <w:bCs/>
          <w:i/>
          <w:iCs/>
          <w:sz w:val="24"/>
          <w:szCs w:val="24"/>
          <w:lang w:val="sq-AL"/>
        </w:rPr>
        <w:t>dhënat fizike</w:t>
      </w:r>
      <w:r w:rsidRPr="00327310">
        <w:rPr>
          <w:rFonts w:ascii="Garamond" w:hAnsi="Garamond"/>
          <w:sz w:val="24"/>
          <w:szCs w:val="24"/>
          <w:lang w:val="sq-AL"/>
        </w:rPr>
        <w:t xml:space="preserve">, mjedisore të institucionit (kjo është e domosdoshme për institucionin shkollë ose qendër multifunksionale) </w:t>
      </w:r>
      <w:r w:rsidRPr="00327310">
        <w:rPr>
          <w:rFonts w:ascii="Garamond" w:hAnsi="Garamond"/>
          <w:b/>
          <w:bCs/>
          <w:i/>
          <w:iCs/>
          <w:sz w:val="24"/>
          <w:szCs w:val="24"/>
          <w:lang w:val="sq-AL"/>
        </w:rPr>
        <w:t>karakteristikat demografike dhe sociale</w:t>
      </w:r>
      <w:r w:rsidRPr="00327310">
        <w:rPr>
          <w:rFonts w:ascii="Garamond" w:hAnsi="Garamond"/>
          <w:sz w:val="24"/>
          <w:szCs w:val="24"/>
          <w:lang w:val="sq-AL"/>
        </w:rPr>
        <w:t xml:space="preserve"> të komunitetit të institucionit (kjo vetëm në rastin shkollë), si dhe të dhënat statistikore, që lidhen me </w:t>
      </w:r>
      <w:r w:rsidRPr="00327310">
        <w:rPr>
          <w:rFonts w:ascii="Garamond" w:hAnsi="Garamond"/>
          <w:b/>
          <w:bCs/>
          <w:i/>
          <w:iCs/>
          <w:sz w:val="24"/>
          <w:szCs w:val="24"/>
          <w:lang w:val="sq-AL"/>
        </w:rPr>
        <w:t>numrin e nxënësve/kursantëve</w:t>
      </w:r>
      <w:r w:rsidRPr="00327310">
        <w:rPr>
          <w:rFonts w:ascii="Garamond" w:hAnsi="Garamond"/>
          <w:sz w:val="24"/>
          <w:szCs w:val="24"/>
          <w:lang w:val="sq-AL"/>
        </w:rPr>
        <w:t xml:space="preserve">, </w:t>
      </w:r>
      <w:r w:rsidRPr="00327310">
        <w:rPr>
          <w:rFonts w:ascii="Garamond" w:hAnsi="Garamond"/>
          <w:b/>
          <w:bCs/>
          <w:i/>
          <w:iCs/>
          <w:sz w:val="24"/>
          <w:szCs w:val="24"/>
          <w:lang w:val="sq-AL"/>
        </w:rPr>
        <w:t>të burimeve njerëzore</w:t>
      </w:r>
      <w:r w:rsidRPr="00327310">
        <w:rPr>
          <w:rFonts w:ascii="Garamond" w:hAnsi="Garamond"/>
          <w:sz w:val="24"/>
          <w:szCs w:val="24"/>
          <w:lang w:val="sq-AL"/>
        </w:rPr>
        <w:t xml:space="preserve">, </w:t>
      </w:r>
      <w:r w:rsidRPr="00327310">
        <w:rPr>
          <w:rFonts w:ascii="Garamond" w:hAnsi="Garamond"/>
          <w:b/>
          <w:bCs/>
          <w:i/>
          <w:iCs/>
          <w:sz w:val="24"/>
          <w:szCs w:val="24"/>
          <w:lang w:val="sq-AL"/>
        </w:rPr>
        <w:t>të rezultateve të arritjeve</w:t>
      </w:r>
      <w:r w:rsidRPr="00327310">
        <w:rPr>
          <w:rFonts w:ascii="Garamond" w:hAnsi="Garamond"/>
          <w:sz w:val="24"/>
          <w:szCs w:val="24"/>
          <w:lang w:val="sq-AL"/>
        </w:rPr>
        <w:t xml:space="preserve">, </w:t>
      </w:r>
      <w:r w:rsidRPr="00327310">
        <w:rPr>
          <w:rFonts w:ascii="Garamond" w:hAnsi="Garamond"/>
          <w:b/>
          <w:bCs/>
          <w:i/>
          <w:iCs/>
          <w:sz w:val="24"/>
          <w:szCs w:val="24"/>
          <w:lang w:val="sq-AL"/>
        </w:rPr>
        <w:t>të frekuentimit shkollor</w:t>
      </w:r>
      <w:r w:rsidRPr="00327310">
        <w:rPr>
          <w:rFonts w:ascii="Garamond" w:hAnsi="Garamond"/>
          <w:sz w:val="24"/>
          <w:szCs w:val="24"/>
          <w:lang w:val="sq-AL"/>
        </w:rPr>
        <w:t xml:space="preserve"> dhe të kurseve etj. (këto të dhëna variojnë sipas llojit të institucionit). Të dhëna me rëndësi në këtë rast konsiderohen ato që </w:t>
      </w:r>
      <w:r w:rsidRPr="00327310">
        <w:rPr>
          <w:rFonts w:ascii="Garamond" w:hAnsi="Garamond"/>
          <w:b/>
          <w:bCs/>
          <w:i/>
          <w:iCs/>
          <w:sz w:val="24"/>
          <w:szCs w:val="24"/>
          <w:lang w:val="sq-AL"/>
        </w:rPr>
        <w:t>shpjegojnë rezultatet që janë arritur</w:t>
      </w:r>
      <w:r w:rsidRPr="00327310">
        <w:rPr>
          <w:rFonts w:ascii="Garamond" w:hAnsi="Garamond"/>
          <w:sz w:val="24"/>
          <w:szCs w:val="24"/>
          <w:lang w:val="sq-AL"/>
        </w:rPr>
        <w:t xml:space="preserve"> në institucion. Në këtë pjesë mund të paraqiten dhe tendencat që institucioni i konsideron të rëndësishme dhe që gjykohet se ndikojnë në </w:t>
      </w:r>
      <w:r w:rsidRPr="00327310">
        <w:rPr>
          <w:rFonts w:ascii="Garamond" w:hAnsi="Garamond"/>
          <w:b/>
          <w:bCs/>
          <w:i/>
          <w:iCs/>
          <w:sz w:val="24"/>
          <w:szCs w:val="24"/>
          <w:lang w:val="sq-AL"/>
        </w:rPr>
        <w:t>zhvillimin afatgjatë</w:t>
      </w:r>
      <w:r w:rsidRPr="00327310">
        <w:rPr>
          <w:rFonts w:ascii="Garamond" w:hAnsi="Garamond"/>
          <w:sz w:val="24"/>
          <w:szCs w:val="24"/>
          <w:lang w:val="sq-AL"/>
        </w:rPr>
        <w:t xml:space="preserve"> të tij.</w:t>
      </w:r>
    </w:p>
    <w:p w14:paraId="2E1D5E04" w14:textId="77777777" w:rsidR="009252FF" w:rsidRDefault="009252FF" w:rsidP="009252FF">
      <w:pPr>
        <w:spacing w:after="0" w:line="240" w:lineRule="auto"/>
        <w:jc w:val="both"/>
        <w:rPr>
          <w:rFonts w:ascii="Garamond" w:hAnsi="Garamond"/>
          <w:sz w:val="24"/>
          <w:szCs w:val="24"/>
          <w:lang w:val="sq-AL"/>
        </w:rPr>
      </w:pPr>
      <w:r w:rsidRPr="009252FF">
        <w:rPr>
          <w:rFonts w:ascii="Garamond" w:hAnsi="Garamond"/>
          <w:sz w:val="24"/>
          <w:szCs w:val="24"/>
          <w:lang w:val="sq-AL"/>
        </w:rPr>
        <w:t>Gjatësia e rekomanduar: përafërsisht 1 faqe.</w:t>
      </w:r>
    </w:p>
    <w:p w14:paraId="5E0FE688" w14:textId="0179862F" w:rsidR="009252FF" w:rsidRPr="009252FF" w:rsidRDefault="009252FF" w:rsidP="009252FF">
      <w:pPr>
        <w:spacing w:after="0" w:line="240" w:lineRule="auto"/>
        <w:jc w:val="both"/>
        <w:rPr>
          <w:rFonts w:ascii="Garamond" w:hAnsi="Garamond"/>
          <w:sz w:val="24"/>
          <w:szCs w:val="24"/>
          <w:lang w:val="sq-AL"/>
        </w:rPr>
      </w:pPr>
      <w:r w:rsidRPr="009252FF">
        <w:rPr>
          <w:rFonts w:ascii="Garamond" w:hAnsi="Garamond"/>
          <w:b/>
          <w:bCs/>
          <w:sz w:val="24"/>
          <w:szCs w:val="24"/>
          <w:lang w:val="sq-AL"/>
        </w:rPr>
        <w:lastRenderedPageBreak/>
        <w:t>GJETJET</w:t>
      </w:r>
    </w:p>
    <w:p w14:paraId="321F2990" w14:textId="77777777" w:rsidR="009252FF" w:rsidRPr="009252FF" w:rsidRDefault="009252FF" w:rsidP="009252FF">
      <w:pPr>
        <w:spacing w:after="0" w:line="240" w:lineRule="auto"/>
        <w:rPr>
          <w:rFonts w:ascii="Garamond" w:hAnsi="Garamond"/>
          <w:b/>
          <w:bCs/>
          <w:sz w:val="24"/>
          <w:szCs w:val="24"/>
          <w:lang w:val="sq-AL"/>
        </w:rPr>
      </w:pPr>
    </w:p>
    <w:p w14:paraId="230BC5BA" w14:textId="77777777" w:rsidR="009252FF" w:rsidRPr="00327310" w:rsidRDefault="009252FF" w:rsidP="009252FF">
      <w:pPr>
        <w:pStyle w:val="ListParagraph"/>
        <w:spacing w:after="0" w:line="240" w:lineRule="auto"/>
        <w:ind w:left="0" w:firstLine="284"/>
        <w:jc w:val="center"/>
        <w:rPr>
          <w:rFonts w:ascii="Garamond" w:hAnsi="Garamond"/>
          <w:b/>
          <w:sz w:val="24"/>
          <w:szCs w:val="24"/>
          <w:lang w:val="sq-AL"/>
        </w:rPr>
      </w:pPr>
      <w:r w:rsidRPr="00327310">
        <w:rPr>
          <w:rFonts w:ascii="Garamond" w:hAnsi="Garamond"/>
          <w:noProof/>
          <w:sz w:val="24"/>
          <w:szCs w:val="24"/>
        </w:rPr>
        <w:drawing>
          <wp:inline distT="0" distB="0" distL="0" distR="0" wp14:anchorId="24CB9357" wp14:editId="30E038EA">
            <wp:extent cx="5898515" cy="2198788"/>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2237" cy="2207631"/>
                    </a:xfrm>
                    <a:prstGeom prst="rect">
                      <a:avLst/>
                    </a:prstGeom>
                    <a:noFill/>
                    <a:ln>
                      <a:noFill/>
                    </a:ln>
                  </pic:spPr>
                </pic:pic>
              </a:graphicData>
            </a:graphic>
          </wp:inline>
        </w:drawing>
      </w:r>
    </w:p>
    <w:p w14:paraId="15AD2DA4" w14:textId="77777777" w:rsidR="009252FF" w:rsidRDefault="009252FF" w:rsidP="009252FF">
      <w:pPr>
        <w:pStyle w:val="ListParagraph"/>
        <w:spacing w:after="0" w:line="240" w:lineRule="auto"/>
        <w:ind w:left="0" w:firstLine="284"/>
        <w:rPr>
          <w:rFonts w:ascii="Garamond" w:hAnsi="Garamond"/>
          <w:b/>
          <w:sz w:val="24"/>
          <w:szCs w:val="24"/>
          <w:lang w:val="sq-AL"/>
        </w:rPr>
      </w:pPr>
    </w:p>
    <w:p w14:paraId="2FBCA17B" w14:textId="77777777" w:rsidR="009252FF" w:rsidRPr="009252FF" w:rsidRDefault="009252FF" w:rsidP="009252FF">
      <w:pPr>
        <w:spacing w:after="0" w:line="240" w:lineRule="auto"/>
        <w:rPr>
          <w:rFonts w:ascii="Garamond" w:hAnsi="Garamond"/>
          <w:b/>
          <w:sz w:val="24"/>
          <w:szCs w:val="24"/>
          <w:lang w:val="sq-AL"/>
        </w:rPr>
      </w:pPr>
      <w:r w:rsidRPr="009252FF">
        <w:rPr>
          <w:rFonts w:ascii="Garamond" w:hAnsi="Garamond"/>
          <w:b/>
          <w:sz w:val="24"/>
          <w:szCs w:val="24"/>
          <w:lang w:val="sq-AL"/>
        </w:rPr>
        <w:t>Nënfusha: 1.1 Gjithpërfshrja</w:t>
      </w:r>
    </w:p>
    <w:p w14:paraId="728BA84C" w14:textId="77777777" w:rsidR="009252FF" w:rsidRPr="00327310" w:rsidRDefault="009252FF" w:rsidP="009252FF">
      <w:pPr>
        <w:pStyle w:val="ListParagraph"/>
        <w:spacing w:after="0" w:line="240" w:lineRule="auto"/>
        <w:ind w:left="0"/>
        <w:jc w:val="both"/>
        <w:rPr>
          <w:rFonts w:ascii="Garamond" w:hAnsi="Garamond"/>
          <w:sz w:val="24"/>
          <w:szCs w:val="24"/>
          <w:lang w:val="sq-AL"/>
        </w:rPr>
      </w:pPr>
      <w:r w:rsidRPr="00327310">
        <w:rPr>
          <w:rFonts w:ascii="Garamond" w:hAnsi="Garamond"/>
          <w:sz w:val="24"/>
          <w:szCs w:val="24"/>
          <w:lang w:val="sq-AL"/>
        </w:rPr>
        <w:t>Treguesi: 1.1.1 Drejtoria e IoAFP-së përfshin të gjitha organizmat e saj në menaxhimin e jetës së institucionit.</w:t>
      </w:r>
    </w:p>
    <w:p w14:paraId="72C469C9" w14:textId="77777777" w:rsidR="009252FF" w:rsidRPr="00327310" w:rsidRDefault="009252FF" w:rsidP="009252FF">
      <w:pPr>
        <w:pStyle w:val="ListParagraph"/>
        <w:spacing w:after="0" w:line="240" w:lineRule="auto"/>
        <w:ind w:left="0"/>
        <w:jc w:val="both"/>
        <w:rPr>
          <w:rFonts w:ascii="Garamond" w:hAnsi="Garamond"/>
          <w:sz w:val="24"/>
          <w:szCs w:val="24"/>
          <w:lang w:val="sq-AL"/>
        </w:rPr>
      </w:pPr>
      <w:r w:rsidRPr="00327310">
        <w:rPr>
          <w:rFonts w:ascii="Garamond" w:hAnsi="Garamond"/>
          <w:sz w:val="24"/>
          <w:szCs w:val="24"/>
          <w:lang w:val="sq-AL"/>
        </w:rPr>
        <w:t>“Drejtoria e shkollës realizon menaxhimin e saj nëpërmjet gjithëpërfshirjes të gjithë organizmave zyrtar</w:t>
      </w:r>
      <w:r>
        <w:rPr>
          <w:rFonts w:ascii="Garamond" w:hAnsi="Garamond"/>
          <w:sz w:val="24"/>
          <w:szCs w:val="24"/>
          <w:lang w:val="sq-AL"/>
        </w:rPr>
        <w:t>ë</w:t>
      </w:r>
      <w:r w:rsidRPr="00327310">
        <w:rPr>
          <w:rFonts w:ascii="Garamond" w:hAnsi="Garamond"/>
          <w:sz w:val="24"/>
          <w:szCs w:val="24"/>
          <w:lang w:val="sq-AL"/>
        </w:rPr>
        <w:t xml:space="preserve"> sipas akteve ligjore në fuqi, të cilat në përbërje respektojnë balancën gjinore të anëtarëve të tyre duke përfshirë nxënës, mësues, prindër dhe aktorë të interesuar. Shkolla kërkon mendime dhe ide për çështjet e menaxhimit të shkollës nga organizmat e saj...”</w:t>
      </w:r>
      <w:r>
        <w:rPr>
          <w:rFonts w:ascii="Garamond" w:hAnsi="Garamond"/>
          <w:sz w:val="24"/>
          <w:szCs w:val="24"/>
          <w:lang w:val="sq-AL"/>
        </w:rPr>
        <w:t>.</w:t>
      </w:r>
    </w:p>
    <w:p w14:paraId="741B3FB9" w14:textId="77777777" w:rsidR="009252FF" w:rsidRPr="009252FF" w:rsidRDefault="009252FF" w:rsidP="009252FF">
      <w:pPr>
        <w:spacing w:after="0" w:line="240" w:lineRule="auto"/>
        <w:jc w:val="both"/>
        <w:rPr>
          <w:rFonts w:ascii="Garamond" w:hAnsi="Garamond"/>
          <w:sz w:val="24"/>
          <w:szCs w:val="24"/>
          <w:lang w:val="sq-AL"/>
        </w:rPr>
      </w:pPr>
      <w:r w:rsidRPr="009252FF">
        <w:rPr>
          <w:rFonts w:ascii="Garamond" w:hAnsi="Garamond"/>
          <w:sz w:val="24"/>
          <w:szCs w:val="24"/>
          <w:lang w:val="sq-AL"/>
        </w:rPr>
        <w:t>1.1.2 Drejtoria e IoAFP-së nxit punën në ekipe të personelit të saj</w:t>
      </w:r>
    </w:p>
    <w:p w14:paraId="54689836" w14:textId="77777777" w:rsidR="009252FF" w:rsidRPr="009252FF" w:rsidRDefault="009252FF" w:rsidP="009252FF">
      <w:pPr>
        <w:spacing w:after="0" w:line="240" w:lineRule="auto"/>
        <w:jc w:val="both"/>
        <w:rPr>
          <w:rFonts w:ascii="Garamond" w:hAnsi="Garamond"/>
          <w:sz w:val="24"/>
          <w:szCs w:val="24"/>
          <w:lang w:val="sq-AL"/>
        </w:rPr>
      </w:pPr>
      <w:r w:rsidRPr="009252FF">
        <w:rPr>
          <w:rFonts w:ascii="Garamond" w:hAnsi="Garamond"/>
          <w:sz w:val="24"/>
          <w:szCs w:val="24"/>
          <w:lang w:val="sq-AL"/>
        </w:rPr>
        <w:t>“Gjetjet (narracion i përmbledhur)”</w:t>
      </w:r>
    </w:p>
    <w:p w14:paraId="4BA44122" w14:textId="77777777" w:rsidR="009252FF" w:rsidRPr="009252FF" w:rsidRDefault="009252FF" w:rsidP="009252FF">
      <w:pPr>
        <w:spacing w:after="0" w:line="240" w:lineRule="auto"/>
        <w:jc w:val="both"/>
        <w:rPr>
          <w:rFonts w:ascii="Garamond" w:hAnsi="Garamond"/>
          <w:b/>
          <w:sz w:val="24"/>
          <w:szCs w:val="24"/>
          <w:lang w:val="sq-AL"/>
        </w:rPr>
      </w:pPr>
      <w:r w:rsidRPr="009252FF">
        <w:rPr>
          <w:rFonts w:ascii="Garamond" w:hAnsi="Garamond"/>
          <w:b/>
          <w:sz w:val="24"/>
          <w:szCs w:val="24"/>
          <w:lang w:val="sq-AL"/>
        </w:rPr>
        <w:t>Nënfusha: 1.2 Plani afatmesëm</w:t>
      </w:r>
    </w:p>
    <w:p w14:paraId="7763964E" w14:textId="6C5EA4B3" w:rsidR="009252FF" w:rsidRPr="009252FF" w:rsidRDefault="009252FF" w:rsidP="009252FF">
      <w:pPr>
        <w:spacing w:after="0" w:line="240" w:lineRule="auto"/>
        <w:jc w:val="both"/>
        <w:rPr>
          <w:rFonts w:ascii="Garamond" w:hAnsi="Garamond"/>
          <w:sz w:val="24"/>
          <w:szCs w:val="24"/>
          <w:lang w:val="sq-AL"/>
        </w:rPr>
      </w:pPr>
      <w:r w:rsidRPr="009252FF">
        <w:rPr>
          <w:rFonts w:ascii="Garamond" w:hAnsi="Garamond"/>
          <w:sz w:val="24"/>
          <w:szCs w:val="24"/>
          <w:lang w:val="sq-AL"/>
        </w:rPr>
        <w:t>1.2.1 IoAFP zhvillohet përmes planit afatmesëm</w:t>
      </w:r>
    </w:p>
    <w:p w14:paraId="428A3030" w14:textId="77777777" w:rsidR="009252FF" w:rsidRPr="009252FF" w:rsidRDefault="009252FF" w:rsidP="009252FF">
      <w:pPr>
        <w:spacing w:after="0" w:line="240" w:lineRule="auto"/>
        <w:jc w:val="both"/>
        <w:rPr>
          <w:rFonts w:ascii="Garamond" w:hAnsi="Garamond"/>
          <w:sz w:val="24"/>
          <w:szCs w:val="24"/>
          <w:lang w:val="sq-AL"/>
        </w:rPr>
      </w:pPr>
      <w:r w:rsidRPr="009252FF">
        <w:rPr>
          <w:rFonts w:ascii="Garamond" w:hAnsi="Garamond"/>
          <w:sz w:val="24"/>
          <w:szCs w:val="24"/>
          <w:lang w:val="sq-AL"/>
        </w:rPr>
        <w:t>“Gjetjet (narracion i përmbledhur)”</w:t>
      </w:r>
    </w:p>
    <w:p w14:paraId="4A677309" w14:textId="77777777" w:rsidR="009252FF" w:rsidRPr="009252FF" w:rsidRDefault="009252FF" w:rsidP="009252FF">
      <w:pPr>
        <w:spacing w:after="0" w:line="240" w:lineRule="auto"/>
        <w:jc w:val="both"/>
        <w:rPr>
          <w:rFonts w:ascii="Garamond" w:hAnsi="Garamond"/>
          <w:b/>
          <w:sz w:val="24"/>
          <w:szCs w:val="24"/>
          <w:lang w:val="sq-AL"/>
        </w:rPr>
      </w:pPr>
      <w:r w:rsidRPr="009252FF">
        <w:rPr>
          <w:rFonts w:ascii="Garamond" w:hAnsi="Garamond"/>
          <w:b/>
          <w:sz w:val="24"/>
          <w:szCs w:val="24"/>
          <w:lang w:val="sq-AL"/>
        </w:rPr>
        <w:t>Nënfusha: 1.3 Plani vjetor i IoAFP-së</w:t>
      </w:r>
    </w:p>
    <w:p w14:paraId="7DB4F2B0" w14:textId="77777777" w:rsidR="009252FF" w:rsidRPr="009252FF" w:rsidRDefault="009252FF" w:rsidP="009252FF">
      <w:pPr>
        <w:spacing w:after="0" w:line="240" w:lineRule="auto"/>
        <w:jc w:val="both"/>
        <w:rPr>
          <w:rFonts w:ascii="Garamond" w:hAnsi="Garamond"/>
          <w:sz w:val="24"/>
          <w:szCs w:val="24"/>
          <w:lang w:val="sq-AL"/>
        </w:rPr>
      </w:pPr>
      <w:r w:rsidRPr="009252FF">
        <w:rPr>
          <w:rFonts w:ascii="Garamond" w:hAnsi="Garamond"/>
          <w:sz w:val="24"/>
          <w:szCs w:val="24"/>
          <w:lang w:val="sq-AL"/>
        </w:rPr>
        <w:t>1.3.1 IoAFP zbaton planin vjetor</w:t>
      </w:r>
    </w:p>
    <w:p w14:paraId="21CF42A6" w14:textId="77777777" w:rsidR="009252FF" w:rsidRPr="009252FF" w:rsidRDefault="009252FF" w:rsidP="009252FF">
      <w:pPr>
        <w:spacing w:after="0" w:line="240" w:lineRule="auto"/>
        <w:jc w:val="both"/>
        <w:rPr>
          <w:rFonts w:ascii="Garamond" w:hAnsi="Garamond"/>
          <w:sz w:val="24"/>
          <w:szCs w:val="24"/>
          <w:lang w:val="sq-AL"/>
        </w:rPr>
      </w:pPr>
      <w:r w:rsidRPr="009252FF">
        <w:rPr>
          <w:rFonts w:ascii="Garamond" w:hAnsi="Garamond"/>
          <w:sz w:val="24"/>
          <w:szCs w:val="24"/>
          <w:lang w:val="sq-AL"/>
        </w:rPr>
        <w:t>“Gjetjet (narracion i përmbledhur)”</w:t>
      </w:r>
    </w:p>
    <w:p w14:paraId="273CA5C2" w14:textId="77777777" w:rsidR="009252FF" w:rsidRPr="009252FF" w:rsidRDefault="009252FF" w:rsidP="009252FF">
      <w:pPr>
        <w:spacing w:after="0" w:line="240" w:lineRule="auto"/>
        <w:jc w:val="both"/>
        <w:rPr>
          <w:rFonts w:ascii="Garamond" w:hAnsi="Garamond"/>
          <w:b/>
          <w:sz w:val="24"/>
          <w:szCs w:val="24"/>
          <w:lang w:val="sq-AL"/>
        </w:rPr>
      </w:pPr>
      <w:r w:rsidRPr="009252FF">
        <w:rPr>
          <w:rFonts w:ascii="Garamond" w:hAnsi="Garamond"/>
          <w:b/>
          <w:sz w:val="24"/>
          <w:szCs w:val="24"/>
          <w:lang w:val="sq-AL"/>
        </w:rPr>
        <w:t>Nënfusha: 1.4 Plani i vëzhgimit të orëve mësimore</w:t>
      </w:r>
    </w:p>
    <w:p w14:paraId="5CAFD9F1" w14:textId="77777777" w:rsidR="009252FF" w:rsidRPr="00327310" w:rsidRDefault="009252FF" w:rsidP="009252FF">
      <w:pPr>
        <w:pStyle w:val="ListParagraph"/>
        <w:spacing w:after="0" w:line="240" w:lineRule="auto"/>
        <w:ind w:left="0"/>
        <w:jc w:val="both"/>
        <w:rPr>
          <w:rFonts w:ascii="Garamond" w:hAnsi="Garamond"/>
          <w:sz w:val="24"/>
          <w:szCs w:val="24"/>
          <w:lang w:val="sq-AL"/>
        </w:rPr>
      </w:pPr>
      <w:r w:rsidRPr="00327310">
        <w:rPr>
          <w:rFonts w:ascii="Garamond" w:hAnsi="Garamond"/>
          <w:sz w:val="24"/>
          <w:szCs w:val="24"/>
          <w:lang w:val="sq-AL"/>
        </w:rPr>
        <w:t>1.4.1 Drejtoria e IoAFP-së kryen vëzhgime sistematike në orë mësimore, për të nxitur progresin e nxënësve/kursantëve.</w:t>
      </w:r>
    </w:p>
    <w:p w14:paraId="6148E3EA" w14:textId="77777777" w:rsidR="009252FF" w:rsidRDefault="009252FF" w:rsidP="009252FF">
      <w:pPr>
        <w:spacing w:after="0" w:line="240" w:lineRule="auto"/>
        <w:rPr>
          <w:rFonts w:ascii="Garamond" w:hAnsi="Garamond"/>
          <w:sz w:val="24"/>
          <w:szCs w:val="24"/>
          <w:lang w:val="sq-AL"/>
        </w:rPr>
      </w:pPr>
      <w:r w:rsidRPr="009252FF">
        <w:rPr>
          <w:rFonts w:ascii="Garamond" w:hAnsi="Garamond"/>
          <w:sz w:val="24"/>
          <w:szCs w:val="24"/>
          <w:lang w:val="sq-AL"/>
        </w:rPr>
        <w:t>“Gjetjet (narracion i përmbledhur)”</w:t>
      </w:r>
    </w:p>
    <w:p w14:paraId="02E77066" w14:textId="77777777" w:rsidR="009252FF" w:rsidRPr="009252FF" w:rsidRDefault="009252FF" w:rsidP="009252FF">
      <w:pPr>
        <w:spacing w:after="0" w:line="240" w:lineRule="auto"/>
        <w:rPr>
          <w:rFonts w:ascii="Garamond" w:hAnsi="Garamond"/>
          <w:sz w:val="24"/>
          <w:szCs w:val="24"/>
          <w:lang w:val="sq-AL"/>
        </w:rPr>
      </w:pPr>
    </w:p>
    <w:p w14:paraId="445C8164" w14:textId="77777777" w:rsidR="009252FF" w:rsidRPr="00327310" w:rsidRDefault="009252FF" w:rsidP="009252FF">
      <w:pPr>
        <w:pStyle w:val="ListParagraph"/>
        <w:spacing w:after="0" w:line="240" w:lineRule="auto"/>
        <w:ind w:left="0"/>
        <w:jc w:val="center"/>
        <w:rPr>
          <w:rFonts w:ascii="Garamond" w:hAnsi="Garamond"/>
          <w:sz w:val="24"/>
          <w:szCs w:val="24"/>
          <w:lang w:val="sq-AL"/>
        </w:rPr>
      </w:pPr>
      <w:r w:rsidRPr="00327310">
        <w:rPr>
          <w:rFonts w:ascii="Garamond" w:hAnsi="Garamond"/>
          <w:noProof/>
          <w:sz w:val="24"/>
          <w:szCs w:val="24"/>
        </w:rPr>
        <w:drawing>
          <wp:inline distT="0" distB="0" distL="0" distR="0" wp14:anchorId="24F4275A" wp14:editId="4DE3FA6B">
            <wp:extent cx="6145078" cy="1657703"/>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0784" cy="1661940"/>
                    </a:xfrm>
                    <a:prstGeom prst="rect">
                      <a:avLst/>
                    </a:prstGeom>
                    <a:noFill/>
                    <a:ln>
                      <a:noFill/>
                    </a:ln>
                  </pic:spPr>
                </pic:pic>
              </a:graphicData>
            </a:graphic>
          </wp:inline>
        </w:drawing>
      </w:r>
    </w:p>
    <w:p w14:paraId="7791499F" w14:textId="77777777" w:rsidR="009252FF" w:rsidRDefault="009252FF" w:rsidP="009252FF">
      <w:pPr>
        <w:pStyle w:val="ListParagraph"/>
        <w:spacing w:after="0" w:line="240" w:lineRule="auto"/>
        <w:ind w:left="0"/>
        <w:rPr>
          <w:rFonts w:ascii="Garamond" w:hAnsi="Garamond"/>
          <w:sz w:val="24"/>
          <w:szCs w:val="24"/>
          <w:lang w:val="sq-AL"/>
        </w:rPr>
      </w:pPr>
    </w:p>
    <w:p w14:paraId="4E4DB939" w14:textId="15D716C5" w:rsidR="009252FF" w:rsidRPr="00327310" w:rsidRDefault="009252FF" w:rsidP="009252FF">
      <w:pPr>
        <w:pStyle w:val="ListParagraph"/>
        <w:spacing w:after="0" w:line="240" w:lineRule="auto"/>
        <w:ind w:left="0"/>
        <w:rPr>
          <w:rFonts w:ascii="Garamond" w:hAnsi="Garamond"/>
          <w:b/>
          <w:sz w:val="24"/>
          <w:szCs w:val="24"/>
          <w:lang w:val="sq-AL"/>
        </w:rPr>
      </w:pPr>
      <w:r w:rsidRPr="00327310">
        <w:rPr>
          <w:rFonts w:ascii="Garamond" w:hAnsi="Garamond"/>
          <w:b/>
          <w:sz w:val="24"/>
          <w:szCs w:val="24"/>
          <w:lang w:val="sq-AL"/>
        </w:rPr>
        <w:t>Nënfusha: 2.1 Marrëdhëniet dhe bashkëpunimi me qeverisjen qendrore, rajonale dhe vendore</w:t>
      </w:r>
    </w:p>
    <w:p w14:paraId="16C79235" w14:textId="77777777" w:rsidR="009252FF" w:rsidRPr="00327310" w:rsidRDefault="009252FF" w:rsidP="009252FF">
      <w:pPr>
        <w:pStyle w:val="ListParagraph"/>
        <w:spacing w:after="0" w:line="240" w:lineRule="auto"/>
        <w:ind w:left="0"/>
        <w:rPr>
          <w:rFonts w:ascii="Garamond" w:hAnsi="Garamond"/>
          <w:sz w:val="24"/>
          <w:szCs w:val="24"/>
          <w:lang w:val="sq-AL"/>
        </w:rPr>
      </w:pPr>
      <w:r w:rsidRPr="00327310">
        <w:rPr>
          <w:rFonts w:ascii="Garamond" w:hAnsi="Garamond"/>
          <w:sz w:val="24"/>
          <w:szCs w:val="24"/>
          <w:lang w:val="sq-AL"/>
        </w:rPr>
        <w:t>2.1.1. IoAFP-ja bashkëpunon me institucionet qendrore që mbulojnë arsimin dhe formimin profesional</w:t>
      </w:r>
    </w:p>
    <w:p w14:paraId="0140AE36" w14:textId="77777777" w:rsidR="009252FF" w:rsidRPr="009252FF" w:rsidRDefault="009252FF" w:rsidP="009252FF">
      <w:pPr>
        <w:spacing w:after="0" w:line="240" w:lineRule="auto"/>
        <w:rPr>
          <w:rFonts w:ascii="Garamond" w:hAnsi="Garamond"/>
          <w:sz w:val="24"/>
          <w:szCs w:val="24"/>
          <w:lang w:val="sq-AL"/>
        </w:rPr>
      </w:pPr>
      <w:r w:rsidRPr="009252FF">
        <w:rPr>
          <w:rFonts w:ascii="Garamond" w:hAnsi="Garamond"/>
          <w:sz w:val="24"/>
          <w:szCs w:val="24"/>
          <w:lang w:val="sq-AL"/>
        </w:rPr>
        <w:t>“Gjetjet (narracion i përmbledhur)”</w:t>
      </w:r>
    </w:p>
    <w:p w14:paraId="180A0B25" w14:textId="77777777" w:rsidR="009252FF" w:rsidRDefault="009252FF" w:rsidP="009252FF">
      <w:pPr>
        <w:pStyle w:val="ListParagraph"/>
        <w:spacing w:after="0" w:line="240" w:lineRule="auto"/>
        <w:ind w:left="0"/>
        <w:rPr>
          <w:rFonts w:ascii="Garamond" w:hAnsi="Garamond"/>
          <w:sz w:val="24"/>
          <w:szCs w:val="24"/>
          <w:lang w:val="sq-AL"/>
        </w:rPr>
      </w:pPr>
      <w:r w:rsidRPr="00327310">
        <w:rPr>
          <w:rFonts w:ascii="Garamond" w:hAnsi="Garamond"/>
          <w:sz w:val="24"/>
          <w:szCs w:val="24"/>
          <w:lang w:val="sq-AL"/>
        </w:rPr>
        <w:lastRenderedPageBreak/>
        <w:t>2.1.2. IoAFP-ja bashkëpunon me institucionet lokale që mbulojnë arsimin dhe formimin profesional.</w:t>
      </w:r>
    </w:p>
    <w:p w14:paraId="1335E778" w14:textId="343CB575" w:rsidR="009252FF" w:rsidRPr="009252FF" w:rsidRDefault="009252FF" w:rsidP="009252FF">
      <w:pPr>
        <w:pStyle w:val="ListParagraph"/>
        <w:spacing w:after="0" w:line="240" w:lineRule="auto"/>
        <w:ind w:left="0"/>
        <w:rPr>
          <w:rFonts w:ascii="Garamond" w:hAnsi="Garamond"/>
          <w:sz w:val="24"/>
          <w:szCs w:val="24"/>
          <w:lang w:val="sq-AL"/>
        </w:rPr>
      </w:pPr>
      <w:r w:rsidRPr="009252FF">
        <w:rPr>
          <w:rFonts w:ascii="Garamond" w:hAnsi="Garamond"/>
          <w:sz w:val="24"/>
          <w:szCs w:val="24"/>
          <w:lang w:val="sq-AL"/>
        </w:rPr>
        <w:t>“Gjetjet (narracion i përmbledhur)”</w:t>
      </w:r>
    </w:p>
    <w:p w14:paraId="15FD9756" w14:textId="77777777" w:rsidR="009252FF" w:rsidRPr="009252FF" w:rsidRDefault="009252FF" w:rsidP="009252FF">
      <w:pPr>
        <w:spacing w:after="0" w:line="240" w:lineRule="auto"/>
        <w:rPr>
          <w:rFonts w:ascii="Garamond" w:hAnsi="Garamond"/>
          <w:sz w:val="24"/>
          <w:szCs w:val="24"/>
          <w:lang w:val="sq-AL"/>
        </w:rPr>
      </w:pPr>
      <w:r w:rsidRPr="009252FF">
        <w:rPr>
          <w:rFonts w:ascii="Garamond" w:hAnsi="Garamond"/>
          <w:sz w:val="24"/>
          <w:szCs w:val="24"/>
          <w:lang w:val="sq-AL"/>
        </w:rPr>
        <w:t>2.1.3 IoAFP-ja bashkëpunon me qeverisjen vendore</w:t>
      </w:r>
    </w:p>
    <w:p w14:paraId="3CA38AEF" w14:textId="77777777" w:rsidR="009252FF" w:rsidRPr="009252FF" w:rsidRDefault="009252FF" w:rsidP="009252FF">
      <w:pPr>
        <w:spacing w:after="0" w:line="240" w:lineRule="auto"/>
        <w:rPr>
          <w:rFonts w:ascii="Garamond" w:hAnsi="Garamond"/>
          <w:sz w:val="24"/>
          <w:szCs w:val="24"/>
          <w:lang w:val="sq-AL"/>
        </w:rPr>
      </w:pPr>
      <w:r w:rsidRPr="009252FF">
        <w:rPr>
          <w:rFonts w:ascii="Garamond" w:hAnsi="Garamond"/>
          <w:sz w:val="24"/>
          <w:szCs w:val="24"/>
          <w:lang w:val="sq-AL"/>
        </w:rPr>
        <w:t>“Gjetjet (narracion i përmbledhur)”</w:t>
      </w:r>
    </w:p>
    <w:p w14:paraId="6915B5FF" w14:textId="56F6AB01" w:rsidR="009252FF" w:rsidRPr="009252FF" w:rsidRDefault="009252FF" w:rsidP="009252FF">
      <w:pPr>
        <w:spacing w:after="0" w:line="240" w:lineRule="auto"/>
        <w:rPr>
          <w:rFonts w:ascii="Garamond" w:hAnsi="Garamond"/>
          <w:b/>
          <w:sz w:val="24"/>
          <w:szCs w:val="24"/>
          <w:lang w:val="sq-AL"/>
        </w:rPr>
      </w:pPr>
      <w:r w:rsidRPr="009252FF">
        <w:rPr>
          <w:rFonts w:ascii="Garamond" w:hAnsi="Garamond"/>
          <w:b/>
          <w:sz w:val="24"/>
          <w:szCs w:val="24"/>
          <w:lang w:val="sq-AL"/>
        </w:rPr>
        <w:t>Nënfusha: 2.1 Marrëdhëniet dhe bashkëpunimi me biznesin</w:t>
      </w:r>
    </w:p>
    <w:p w14:paraId="00F3DE98" w14:textId="77777777" w:rsidR="009252FF" w:rsidRPr="009252FF" w:rsidRDefault="009252FF" w:rsidP="009252FF">
      <w:pPr>
        <w:spacing w:after="0" w:line="240" w:lineRule="auto"/>
        <w:rPr>
          <w:rFonts w:ascii="Garamond" w:hAnsi="Garamond"/>
          <w:sz w:val="24"/>
          <w:szCs w:val="24"/>
          <w:lang w:val="sq-AL"/>
        </w:rPr>
      </w:pPr>
      <w:r w:rsidRPr="009252FF">
        <w:rPr>
          <w:rFonts w:ascii="Garamond" w:hAnsi="Garamond"/>
          <w:sz w:val="24"/>
          <w:szCs w:val="24"/>
          <w:lang w:val="sq-AL"/>
        </w:rPr>
        <w:t>2.2.1 IoAFP-të bashkëpunojnë me komunitetin e biznesit</w:t>
      </w:r>
    </w:p>
    <w:p w14:paraId="26AF105D" w14:textId="77777777" w:rsidR="009252FF" w:rsidRPr="009252FF" w:rsidRDefault="009252FF" w:rsidP="009252FF">
      <w:pPr>
        <w:spacing w:after="0" w:line="240" w:lineRule="auto"/>
        <w:rPr>
          <w:rFonts w:ascii="Garamond" w:hAnsi="Garamond"/>
          <w:sz w:val="24"/>
          <w:szCs w:val="24"/>
          <w:lang w:val="sq-AL"/>
        </w:rPr>
      </w:pPr>
      <w:r w:rsidRPr="009252FF">
        <w:rPr>
          <w:rFonts w:ascii="Garamond" w:hAnsi="Garamond"/>
          <w:sz w:val="24"/>
          <w:szCs w:val="24"/>
          <w:lang w:val="sq-AL"/>
        </w:rPr>
        <w:t>“Gjetjet (narracion i përmbledhur)”</w:t>
      </w:r>
    </w:p>
    <w:p w14:paraId="1D4C8028" w14:textId="77777777" w:rsidR="009252FF" w:rsidRDefault="009252FF" w:rsidP="009252FF">
      <w:pPr>
        <w:spacing w:after="0" w:line="240" w:lineRule="auto"/>
        <w:rPr>
          <w:rFonts w:ascii="Garamond" w:hAnsi="Garamond"/>
          <w:sz w:val="24"/>
          <w:szCs w:val="24"/>
          <w:lang w:val="sq-AL"/>
        </w:rPr>
      </w:pPr>
      <w:r w:rsidRPr="009252FF">
        <w:rPr>
          <w:rFonts w:ascii="Garamond" w:hAnsi="Garamond"/>
          <w:sz w:val="24"/>
          <w:szCs w:val="24"/>
          <w:lang w:val="sq-AL"/>
        </w:rPr>
        <w:t>2.2.2 IoAFP-të komunikojnë me biznesin me anë të Njësisë së Zhvillimit.</w:t>
      </w:r>
    </w:p>
    <w:p w14:paraId="775081F7" w14:textId="6101CE19" w:rsidR="009252FF" w:rsidRPr="009252FF" w:rsidRDefault="009252FF" w:rsidP="009252FF">
      <w:pPr>
        <w:spacing w:after="0" w:line="240" w:lineRule="auto"/>
        <w:rPr>
          <w:rFonts w:ascii="Garamond" w:hAnsi="Garamond"/>
          <w:sz w:val="24"/>
          <w:szCs w:val="24"/>
          <w:lang w:val="sq-AL"/>
        </w:rPr>
      </w:pPr>
      <w:r w:rsidRPr="009252FF">
        <w:rPr>
          <w:rFonts w:ascii="Garamond" w:hAnsi="Garamond"/>
          <w:sz w:val="24"/>
          <w:szCs w:val="24"/>
          <w:lang w:val="sq-AL"/>
        </w:rPr>
        <w:t>“Gjetjet (narracion i përmbledhur)”</w:t>
      </w:r>
    </w:p>
    <w:p w14:paraId="6696DF05" w14:textId="77777777" w:rsidR="009252FF" w:rsidRPr="009252FF" w:rsidRDefault="009252FF" w:rsidP="009252FF">
      <w:pPr>
        <w:spacing w:after="0" w:line="240" w:lineRule="auto"/>
        <w:rPr>
          <w:rFonts w:ascii="Garamond" w:hAnsi="Garamond"/>
          <w:sz w:val="24"/>
          <w:szCs w:val="24"/>
          <w:lang w:val="sq-AL"/>
        </w:rPr>
      </w:pPr>
      <w:r w:rsidRPr="009252FF">
        <w:rPr>
          <w:rFonts w:ascii="Garamond" w:hAnsi="Garamond"/>
          <w:sz w:val="24"/>
          <w:szCs w:val="24"/>
          <w:lang w:val="sq-AL"/>
        </w:rPr>
        <w:t>Vijoni me të njëjtën mënyrë për fushat 3, 4 dhe 5</w:t>
      </w:r>
    </w:p>
    <w:p w14:paraId="25722CCC" w14:textId="77777777" w:rsidR="009252FF" w:rsidRDefault="009252FF" w:rsidP="009252FF">
      <w:pPr>
        <w:spacing w:after="0" w:line="240" w:lineRule="auto"/>
        <w:rPr>
          <w:rFonts w:ascii="Garamond" w:hAnsi="Garamond"/>
          <w:sz w:val="24"/>
          <w:szCs w:val="24"/>
          <w:lang w:val="sq-AL"/>
        </w:rPr>
      </w:pPr>
    </w:p>
    <w:p w14:paraId="6F2DBBA4" w14:textId="77777777" w:rsidR="009252FF" w:rsidRDefault="009252FF" w:rsidP="009252FF">
      <w:pPr>
        <w:spacing w:after="0" w:line="240" w:lineRule="auto"/>
        <w:rPr>
          <w:rFonts w:ascii="Garamond" w:hAnsi="Garamond"/>
          <w:sz w:val="24"/>
          <w:szCs w:val="24"/>
          <w:lang w:val="sq-AL"/>
        </w:rPr>
      </w:pPr>
    </w:p>
    <w:p w14:paraId="44F6B5D5" w14:textId="282D5BF6" w:rsidR="009252FF" w:rsidRPr="009252FF" w:rsidRDefault="009252FF" w:rsidP="009252FF">
      <w:pPr>
        <w:spacing w:after="0" w:line="240" w:lineRule="auto"/>
        <w:rPr>
          <w:rFonts w:ascii="Garamond" w:hAnsi="Garamond"/>
          <w:sz w:val="24"/>
          <w:szCs w:val="24"/>
          <w:lang w:val="sq-AL"/>
        </w:rPr>
      </w:pPr>
      <w:r w:rsidRPr="009252FF">
        <w:rPr>
          <w:rFonts w:ascii="Garamond" w:hAnsi="Garamond"/>
          <w:sz w:val="24"/>
          <w:szCs w:val="24"/>
          <w:lang w:val="sq-AL"/>
        </w:rPr>
        <w:t>GJYKIME DHE KONLUZIONE</w:t>
      </w:r>
    </w:p>
    <w:p w14:paraId="2FC742DA" w14:textId="0A5C7440" w:rsidR="009252FF" w:rsidRDefault="009252FF" w:rsidP="009252FF">
      <w:pPr>
        <w:pStyle w:val="ListParagraph"/>
        <w:spacing w:after="0" w:line="240" w:lineRule="auto"/>
        <w:ind w:left="0"/>
        <w:jc w:val="both"/>
        <w:rPr>
          <w:rFonts w:ascii="Garamond" w:hAnsi="Garamond"/>
          <w:sz w:val="24"/>
          <w:szCs w:val="24"/>
          <w:lang w:val="sq-AL"/>
        </w:rPr>
      </w:pPr>
      <w:r w:rsidRPr="00327310">
        <w:rPr>
          <w:rFonts w:ascii="Garamond" w:hAnsi="Garamond"/>
          <w:sz w:val="24"/>
          <w:szCs w:val="24"/>
          <w:lang w:val="sq-AL"/>
        </w:rPr>
        <w:t xml:space="preserve">Në këtë paragraf paraqiten gjykimet që janë </w:t>
      </w:r>
      <w:r w:rsidRPr="00327310">
        <w:rPr>
          <w:rFonts w:ascii="Garamond" w:hAnsi="Garamond"/>
          <w:b/>
          <w:bCs/>
          <w:i/>
          <w:iCs/>
          <w:sz w:val="24"/>
          <w:szCs w:val="24"/>
          <w:lang w:val="sq-AL"/>
        </w:rPr>
        <w:t>rrjedhojë e vetëvlerësimit</w:t>
      </w:r>
      <w:r w:rsidRPr="00327310">
        <w:rPr>
          <w:rFonts w:ascii="Garamond" w:hAnsi="Garamond"/>
          <w:sz w:val="24"/>
          <w:szCs w:val="24"/>
          <w:lang w:val="sq-AL"/>
        </w:rPr>
        <w:t xml:space="preserve"> të punës nga secili individ, nga ekipet dhe organizmat e ndryshëm të institucionit dhe në fund nga ekipi përgjegjës për vetëvlerësimin (ekipi që përgatit raportin e vetëvlerësimit). Konkluzionet duhet të jenë </w:t>
      </w:r>
      <w:r w:rsidRPr="00327310">
        <w:rPr>
          <w:rFonts w:ascii="Garamond" w:hAnsi="Garamond"/>
          <w:b/>
          <w:bCs/>
          <w:i/>
          <w:iCs/>
          <w:sz w:val="24"/>
          <w:szCs w:val="24"/>
          <w:lang w:val="sq-AL"/>
        </w:rPr>
        <w:t>të përmbledhura/sintetike</w:t>
      </w:r>
      <w:r w:rsidRPr="00327310">
        <w:rPr>
          <w:rFonts w:ascii="Garamond" w:hAnsi="Garamond"/>
          <w:sz w:val="24"/>
          <w:szCs w:val="24"/>
          <w:lang w:val="sq-AL"/>
        </w:rPr>
        <w:t xml:space="preserve"> dhe mjaft </w:t>
      </w:r>
      <w:r w:rsidRPr="00327310">
        <w:rPr>
          <w:rFonts w:ascii="Garamond" w:hAnsi="Garamond"/>
          <w:b/>
          <w:bCs/>
          <w:i/>
          <w:iCs/>
          <w:sz w:val="24"/>
          <w:szCs w:val="24"/>
          <w:lang w:val="sq-AL"/>
        </w:rPr>
        <w:t>të qarta</w:t>
      </w:r>
      <w:r w:rsidRPr="00327310">
        <w:rPr>
          <w:rFonts w:ascii="Garamond" w:hAnsi="Garamond"/>
          <w:sz w:val="24"/>
          <w:szCs w:val="24"/>
          <w:lang w:val="sq-AL"/>
        </w:rPr>
        <w:t xml:space="preserve"> për t’u lexuar nga grupet e interesit. Ato gjithnjë shprehin qartë </w:t>
      </w:r>
      <w:r w:rsidRPr="00327310">
        <w:rPr>
          <w:rFonts w:ascii="Garamond" w:hAnsi="Garamond"/>
          <w:b/>
          <w:bCs/>
          <w:i/>
          <w:iCs/>
          <w:sz w:val="24"/>
          <w:szCs w:val="24"/>
          <w:lang w:val="sq-AL"/>
        </w:rPr>
        <w:t>përfundimet reale</w:t>
      </w:r>
      <w:r w:rsidRPr="00327310">
        <w:rPr>
          <w:rFonts w:ascii="Garamond" w:hAnsi="Garamond"/>
          <w:sz w:val="24"/>
          <w:szCs w:val="24"/>
          <w:lang w:val="sq-AL"/>
        </w:rPr>
        <w:t xml:space="preserve">, të cilat janë bazuar fort në analizën dhe gjithë procesin e vetëvlerësimit. Të shkruarit e gjykimeve dhe konkluzioneve duhet të jenë </w:t>
      </w:r>
      <w:r w:rsidRPr="00327310">
        <w:rPr>
          <w:rFonts w:ascii="Garamond" w:hAnsi="Garamond"/>
          <w:b/>
          <w:bCs/>
          <w:i/>
          <w:iCs/>
          <w:sz w:val="24"/>
          <w:szCs w:val="24"/>
          <w:lang w:val="sq-AL"/>
        </w:rPr>
        <w:t>bindëse</w:t>
      </w:r>
      <w:r w:rsidRPr="00327310">
        <w:rPr>
          <w:rFonts w:ascii="Garamond" w:hAnsi="Garamond"/>
          <w:sz w:val="24"/>
          <w:szCs w:val="24"/>
          <w:lang w:val="sq-AL"/>
        </w:rPr>
        <w:t xml:space="preserve"> dhe që dëshmojnë qartë dhe thellësisht që janë rrjedhojë e gjetjeve, përpunimeve dhe analizave që kanë bërë si individ apo si ekipe stafi i institucionit arsimor. Vlefshmëria e gjykimeve dhe konkluzioneve vërtetohet atëherë kur ato pranohen dhe nuk lënë vend për hamendësime te stafi i institucionit.</w:t>
      </w:r>
    </w:p>
    <w:p w14:paraId="72E0900A" w14:textId="38F52633" w:rsidR="009252FF" w:rsidRPr="009252FF" w:rsidRDefault="009252FF" w:rsidP="009252FF">
      <w:pPr>
        <w:spacing w:after="0" w:line="240" w:lineRule="auto"/>
        <w:rPr>
          <w:rFonts w:ascii="Garamond" w:hAnsi="Garamond"/>
          <w:sz w:val="24"/>
          <w:szCs w:val="24"/>
          <w:lang w:val="sq-AL"/>
        </w:rPr>
      </w:pPr>
      <w:r w:rsidRPr="009252FF">
        <w:rPr>
          <w:rFonts w:ascii="Garamond" w:hAnsi="Garamond"/>
          <w:sz w:val="24"/>
          <w:szCs w:val="24"/>
          <w:lang w:val="sq-AL"/>
        </w:rPr>
        <w:t>Gjatësia e rekomanduar: 6–7 faqe.</w:t>
      </w:r>
    </w:p>
    <w:p w14:paraId="2C02CF03" w14:textId="77777777" w:rsidR="009252FF" w:rsidRPr="00327310" w:rsidRDefault="009252FF" w:rsidP="009252FF">
      <w:pPr>
        <w:pStyle w:val="ListParagraph"/>
        <w:spacing w:after="0" w:line="240" w:lineRule="auto"/>
        <w:ind w:left="0"/>
        <w:jc w:val="center"/>
        <w:rPr>
          <w:rFonts w:ascii="Garamond" w:hAnsi="Garamond"/>
          <w:sz w:val="24"/>
          <w:szCs w:val="24"/>
          <w:lang w:val="sq-AL"/>
        </w:rPr>
      </w:pPr>
      <w:r w:rsidRPr="00327310">
        <w:rPr>
          <w:rFonts w:ascii="Garamond" w:hAnsi="Garamond"/>
          <w:noProof/>
          <w:sz w:val="24"/>
          <w:szCs w:val="24"/>
        </w:rPr>
        <w:drawing>
          <wp:inline distT="0" distB="0" distL="0" distR="0" wp14:anchorId="34EC7061" wp14:editId="39CEFD58">
            <wp:extent cx="5191932" cy="954230"/>
            <wp:effectExtent l="0" t="0" r="254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1386" cy="976185"/>
                    </a:xfrm>
                    <a:prstGeom prst="rect">
                      <a:avLst/>
                    </a:prstGeom>
                    <a:noFill/>
                    <a:ln>
                      <a:noFill/>
                    </a:ln>
                  </pic:spPr>
                </pic:pic>
              </a:graphicData>
            </a:graphic>
          </wp:inline>
        </w:drawing>
      </w:r>
    </w:p>
    <w:p w14:paraId="32B66AB7" w14:textId="77777777" w:rsidR="009252FF" w:rsidRDefault="009252FF" w:rsidP="009252FF">
      <w:pPr>
        <w:spacing w:after="0" w:line="240" w:lineRule="auto"/>
        <w:rPr>
          <w:rFonts w:ascii="Garamond" w:hAnsi="Garamond"/>
          <w:sz w:val="24"/>
          <w:szCs w:val="24"/>
          <w:lang w:val="sq-AL"/>
        </w:rPr>
      </w:pPr>
    </w:p>
    <w:p w14:paraId="04DC3783" w14:textId="77777777" w:rsidR="009252FF" w:rsidRDefault="009252FF" w:rsidP="009252FF">
      <w:pPr>
        <w:spacing w:after="0" w:line="240" w:lineRule="auto"/>
        <w:rPr>
          <w:rFonts w:ascii="Garamond" w:hAnsi="Garamond"/>
          <w:sz w:val="24"/>
          <w:szCs w:val="24"/>
          <w:lang w:val="sq-AL"/>
        </w:rPr>
      </w:pPr>
    </w:p>
    <w:p w14:paraId="02CC77D7" w14:textId="1B28BCB5" w:rsidR="009252FF" w:rsidRPr="009252FF" w:rsidRDefault="009252FF" w:rsidP="009252FF">
      <w:pPr>
        <w:spacing w:after="0" w:line="240" w:lineRule="auto"/>
        <w:rPr>
          <w:rFonts w:ascii="Garamond" w:hAnsi="Garamond"/>
          <w:sz w:val="24"/>
          <w:szCs w:val="24"/>
          <w:lang w:val="sq-AL"/>
        </w:rPr>
      </w:pPr>
      <w:r w:rsidRPr="009252FF">
        <w:rPr>
          <w:rFonts w:ascii="Garamond" w:hAnsi="Garamond"/>
          <w:sz w:val="24"/>
          <w:szCs w:val="24"/>
          <w:lang w:val="sq-AL"/>
        </w:rPr>
        <w:t>REKOMANDIME</w:t>
      </w:r>
    </w:p>
    <w:p w14:paraId="791E2D19" w14:textId="77777777" w:rsidR="009252FF" w:rsidRPr="00327310" w:rsidRDefault="009252FF" w:rsidP="009252FF">
      <w:pPr>
        <w:pStyle w:val="ListParagraph"/>
        <w:spacing w:after="0" w:line="240" w:lineRule="auto"/>
        <w:ind w:left="0"/>
        <w:rPr>
          <w:rFonts w:ascii="Garamond" w:hAnsi="Garamond"/>
          <w:sz w:val="24"/>
          <w:szCs w:val="24"/>
          <w:lang w:val="sq-AL"/>
        </w:rPr>
      </w:pPr>
      <w:r w:rsidRPr="00327310">
        <w:rPr>
          <w:rFonts w:ascii="Garamond" w:hAnsi="Garamond"/>
          <w:sz w:val="24"/>
          <w:szCs w:val="24"/>
          <w:lang w:val="sq-AL"/>
        </w:rPr>
        <w:t xml:space="preserve">Rekomandimet duhet të jenë të lidhura ngushtë </w:t>
      </w:r>
      <w:r w:rsidRPr="00327310">
        <w:rPr>
          <w:rFonts w:ascii="Garamond" w:hAnsi="Garamond"/>
          <w:b/>
          <w:bCs/>
          <w:i/>
          <w:iCs/>
          <w:sz w:val="24"/>
          <w:szCs w:val="24"/>
          <w:lang w:val="sq-AL"/>
        </w:rPr>
        <w:t>me nevojat për përmirësim</w:t>
      </w:r>
      <w:r w:rsidRPr="00327310">
        <w:rPr>
          <w:rFonts w:ascii="Garamond" w:hAnsi="Garamond"/>
          <w:sz w:val="24"/>
          <w:szCs w:val="24"/>
          <w:lang w:val="sq-AL"/>
        </w:rPr>
        <w:t xml:space="preserve"> në të ardhmen, si dhe të theksohen pikat e forta që institucioni duhet t’i ruajë në vijimësi. Zakonisht mund të jepen 2–3 rekomandime për fushat e vlerësuara. Formulimi i tyre bëhet me 1–2 fjali që orientojnë qartë institucionin për të përmirësuar punën në të ardhmen në ato drejtime që rekomandohen.</w:t>
      </w:r>
    </w:p>
    <w:p w14:paraId="15B5088E" w14:textId="77777777" w:rsidR="009252FF" w:rsidRPr="009252FF" w:rsidRDefault="009252FF" w:rsidP="009252FF">
      <w:pPr>
        <w:spacing w:after="0" w:line="240" w:lineRule="auto"/>
        <w:rPr>
          <w:rFonts w:ascii="Garamond" w:hAnsi="Garamond"/>
          <w:bCs/>
          <w:sz w:val="24"/>
          <w:szCs w:val="24"/>
          <w:lang w:val="sq-AL"/>
        </w:rPr>
      </w:pPr>
      <w:r w:rsidRPr="009252FF">
        <w:rPr>
          <w:rFonts w:ascii="Garamond" w:hAnsi="Garamond"/>
          <w:bCs/>
          <w:sz w:val="24"/>
          <w:szCs w:val="24"/>
          <w:lang w:val="sq-AL"/>
        </w:rPr>
        <w:t>Gjatësia e rekomanduar: ½ faqe.</w:t>
      </w:r>
    </w:p>
    <w:p w14:paraId="73473B92" w14:textId="77777777" w:rsidR="009252FF" w:rsidRDefault="009252FF" w:rsidP="009252FF">
      <w:pPr>
        <w:spacing w:after="0" w:line="240" w:lineRule="auto"/>
        <w:rPr>
          <w:rFonts w:ascii="Garamond" w:hAnsi="Garamond"/>
          <w:sz w:val="24"/>
          <w:szCs w:val="24"/>
          <w:lang w:val="sq-AL"/>
        </w:rPr>
      </w:pPr>
    </w:p>
    <w:p w14:paraId="432E2610" w14:textId="77777777" w:rsidR="009252FF" w:rsidRDefault="009252FF" w:rsidP="009252FF">
      <w:pPr>
        <w:spacing w:after="0" w:line="240" w:lineRule="auto"/>
        <w:rPr>
          <w:rFonts w:ascii="Garamond" w:hAnsi="Garamond"/>
          <w:sz w:val="24"/>
          <w:szCs w:val="24"/>
          <w:lang w:val="sq-AL"/>
        </w:rPr>
      </w:pPr>
    </w:p>
    <w:p w14:paraId="5D15EC5A" w14:textId="0EC553D7" w:rsidR="009252FF" w:rsidRPr="009252FF" w:rsidRDefault="009252FF" w:rsidP="009252FF">
      <w:pPr>
        <w:spacing w:after="0" w:line="240" w:lineRule="auto"/>
        <w:rPr>
          <w:rFonts w:ascii="Garamond" w:hAnsi="Garamond"/>
          <w:sz w:val="24"/>
          <w:szCs w:val="24"/>
          <w:lang w:val="sq-AL"/>
        </w:rPr>
      </w:pPr>
      <w:r w:rsidRPr="009252FF">
        <w:rPr>
          <w:rFonts w:ascii="Garamond" w:hAnsi="Garamond"/>
          <w:sz w:val="24"/>
          <w:szCs w:val="24"/>
          <w:lang w:val="sq-AL"/>
        </w:rPr>
        <w:t xml:space="preserve">INSTRUMENTI PËR PËRMIRËSIMIN E VAZHDUESHËM TË CILËSISË </w:t>
      </w:r>
    </w:p>
    <w:p w14:paraId="2D191E73" w14:textId="77777777" w:rsidR="009252FF" w:rsidRPr="00327310" w:rsidRDefault="009252FF" w:rsidP="009252FF">
      <w:pPr>
        <w:pStyle w:val="ListParagraph"/>
        <w:spacing w:after="0" w:line="240" w:lineRule="auto"/>
        <w:ind w:left="0" w:firstLine="284"/>
        <w:rPr>
          <w:rFonts w:ascii="Garamond" w:hAnsi="Garamond"/>
          <w:b/>
          <w:bCs/>
          <w:sz w:val="24"/>
          <w:szCs w:val="24"/>
          <w:lang w:val="sq-AL"/>
        </w:rPr>
      </w:pPr>
      <w:r w:rsidRPr="00327310">
        <w:rPr>
          <w:rFonts w:ascii="Garamond" w:hAnsi="Garamond"/>
          <w:b/>
          <w:bCs/>
          <w:sz w:val="24"/>
          <w:szCs w:val="24"/>
          <w:lang w:val="sq-AL"/>
        </w:rPr>
        <w:t>Fusha e vetëvlerësimit:</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8"/>
        <w:gridCol w:w="1439"/>
        <w:gridCol w:w="1711"/>
        <w:gridCol w:w="1710"/>
        <w:gridCol w:w="1957"/>
        <w:gridCol w:w="1710"/>
      </w:tblGrid>
      <w:tr w:rsidR="009252FF" w:rsidRPr="00327310" w14:paraId="4026040E" w14:textId="77777777" w:rsidTr="00764C61">
        <w:trPr>
          <w:trHeight w:val="47"/>
        </w:trPr>
        <w:tc>
          <w:tcPr>
            <w:tcW w:w="9805" w:type="dxa"/>
            <w:gridSpan w:val="6"/>
            <w:tcBorders>
              <w:top w:val="single" w:sz="4" w:space="0" w:color="000000"/>
              <w:left w:val="single" w:sz="4" w:space="0" w:color="000000"/>
              <w:bottom w:val="single" w:sz="4" w:space="0" w:color="000000"/>
              <w:right w:val="single" w:sz="4" w:space="0" w:color="000000"/>
            </w:tcBorders>
            <w:shd w:val="clear" w:color="auto" w:fill="E2EFD9"/>
          </w:tcPr>
          <w:p w14:paraId="37B1EEE1" w14:textId="77777777" w:rsidR="009252FF" w:rsidRPr="00327310" w:rsidRDefault="009252FF" w:rsidP="00764C61">
            <w:pPr>
              <w:pStyle w:val="ListParagraph"/>
              <w:spacing w:after="0" w:line="240" w:lineRule="auto"/>
              <w:ind w:left="0"/>
              <w:rPr>
                <w:rFonts w:ascii="Garamond" w:hAnsi="Garamond"/>
                <w:iCs/>
                <w:sz w:val="20"/>
                <w:szCs w:val="24"/>
                <w:lang w:val="sq-AL"/>
              </w:rPr>
            </w:pPr>
            <w:r w:rsidRPr="00327310">
              <w:rPr>
                <w:rFonts w:ascii="Garamond" w:hAnsi="Garamond"/>
                <w:b/>
                <w:iCs/>
                <w:sz w:val="20"/>
                <w:szCs w:val="24"/>
                <w:lang w:val="sq-AL"/>
              </w:rPr>
              <w:t>Rekomandimi:</w:t>
            </w:r>
            <w:r w:rsidRPr="00327310">
              <w:rPr>
                <w:rFonts w:ascii="Garamond" w:hAnsi="Garamond"/>
                <w:iCs/>
                <w:sz w:val="20"/>
                <w:szCs w:val="24"/>
                <w:lang w:val="sq-AL"/>
              </w:rPr>
              <w:t xml:space="preserve"> </w:t>
            </w:r>
            <w:r w:rsidRPr="00327310">
              <w:rPr>
                <w:rFonts w:ascii="Garamond" w:hAnsi="Garamond"/>
                <w:i/>
                <w:sz w:val="20"/>
                <w:szCs w:val="24"/>
                <w:lang w:val="sq-AL"/>
              </w:rPr>
              <w:t>Rekomandimi sipas raportit të vetëvlerësimit</w:t>
            </w:r>
          </w:p>
        </w:tc>
      </w:tr>
      <w:tr w:rsidR="009252FF" w:rsidRPr="00327310" w14:paraId="13C75338" w14:textId="77777777" w:rsidTr="00764C61">
        <w:trPr>
          <w:trHeight w:val="47"/>
        </w:trPr>
        <w:tc>
          <w:tcPr>
            <w:tcW w:w="9805" w:type="dxa"/>
            <w:gridSpan w:val="6"/>
            <w:tcBorders>
              <w:top w:val="single" w:sz="4" w:space="0" w:color="000000"/>
              <w:left w:val="single" w:sz="4" w:space="0" w:color="000000"/>
              <w:bottom w:val="single" w:sz="4" w:space="0" w:color="000000"/>
              <w:right w:val="single" w:sz="4" w:space="0" w:color="000000"/>
            </w:tcBorders>
            <w:shd w:val="clear" w:color="auto" w:fill="E2EFD9"/>
          </w:tcPr>
          <w:p w14:paraId="0D767085" w14:textId="77777777" w:rsidR="009252FF" w:rsidRPr="00327310" w:rsidRDefault="009252FF" w:rsidP="00764C61">
            <w:pPr>
              <w:pStyle w:val="ListParagraph"/>
              <w:spacing w:after="0" w:line="240" w:lineRule="auto"/>
              <w:ind w:left="0"/>
              <w:rPr>
                <w:rFonts w:ascii="Garamond" w:hAnsi="Garamond"/>
                <w:iCs/>
                <w:sz w:val="20"/>
                <w:szCs w:val="24"/>
                <w:lang w:val="sq-AL"/>
              </w:rPr>
            </w:pPr>
            <w:r w:rsidRPr="00327310">
              <w:rPr>
                <w:rFonts w:ascii="Garamond" w:hAnsi="Garamond"/>
                <w:b/>
                <w:bCs/>
                <w:iCs/>
                <w:sz w:val="20"/>
                <w:szCs w:val="24"/>
                <w:lang w:val="sq-AL"/>
              </w:rPr>
              <w:t>Objektivi:</w:t>
            </w:r>
            <w:r w:rsidRPr="00327310">
              <w:rPr>
                <w:rFonts w:ascii="Garamond" w:hAnsi="Garamond"/>
                <w:iCs/>
                <w:sz w:val="20"/>
                <w:szCs w:val="24"/>
                <w:lang w:val="sq-AL"/>
              </w:rPr>
              <w:t xml:space="preserve"> </w:t>
            </w:r>
            <w:r w:rsidRPr="00327310">
              <w:rPr>
                <w:rFonts w:ascii="Garamond" w:hAnsi="Garamond"/>
                <w:i/>
                <w:sz w:val="20"/>
                <w:szCs w:val="24"/>
                <w:lang w:val="sq-AL"/>
              </w:rPr>
              <w:t>Objektivi duhet të jetë Specifik, i Matshëm, i Arritshëm, Realist dhe i përcaktuar në Afat Kohor (SMART), sipas rekomandimit të dhënë.</w:t>
            </w:r>
          </w:p>
        </w:tc>
      </w:tr>
      <w:tr w:rsidR="009252FF" w:rsidRPr="00327310" w14:paraId="3165802F" w14:textId="77777777" w:rsidTr="00764C61">
        <w:trPr>
          <w:trHeight w:val="47"/>
        </w:trPr>
        <w:tc>
          <w:tcPr>
            <w:tcW w:w="9805" w:type="dxa"/>
            <w:gridSpan w:val="6"/>
            <w:tcBorders>
              <w:top w:val="single" w:sz="4" w:space="0" w:color="000000"/>
              <w:left w:val="single" w:sz="4" w:space="0" w:color="000000"/>
              <w:bottom w:val="single" w:sz="4" w:space="0" w:color="000000"/>
              <w:right w:val="single" w:sz="4" w:space="0" w:color="000000"/>
            </w:tcBorders>
            <w:shd w:val="clear" w:color="auto" w:fill="E2EFD9"/>
          </w:tcPr>
          <w:p w14:paraId="60D047F6" w14:textId="77777777" w:rsidR="009252FF" w:rsidRPr="00327310" w:rsidRDefault="009252FF" w:rsidP="00764C61">
            <w:pPr>
              <w:pStyle w:val="ListParagraph"/>
              <w:spacing w:after="0" w:line="240" w:lineRule="auto"/>
              <w:ind w:left="0"/>
              <w:rPr>
                <w:rFonts w:ascii="Garamond" w:hAnsi="Garamond"/>
                <w:b/>
                <w:bCs/>
                <w:iCs/>
                <w:sz w:val="20"/>
                <w:szCs w:val="24"/>
                <w:lang w:val="sq-AL"/>
              </w:rPr>
            </w:pPr>
            <w:r w:rsidRPr="00327310">
              <w:rPr>
                <w:rFonts w:ascii="Garamond" w:hAnsi="Garamond"/>
                <w:b/>
                <w:bCs/>
                <w:iCs/>
                <w:sz w:val="20"/>
                <w:szCs w:val="24"/>
                <w:lang w:val="sq-AL"/>
              </w:rPr>
              <w:t xml:space="preserve">Treguesi përmbushjes: </w:t>
            </w:r>
            <w:r w:rsidRPr="00327310">
              <w:rPr>
                <w:rFonts w:ascii="Garamond" w:hAnsi="Garamond"/>
                <w:i/>
                <w:sz w:val="20"/>
                <w:szCs w:val="24"/>
                <w:lang w:val="sq-AL"/>
              </w:rPr>
              <w:t>Treguesit sasior/cilësor që doni të arrini në fund, për të vlerësuar përmbushjen e objektivit</w:t>
            </w:r>
          </w:p>
        </w:tc>
      </w:tr>
      <w:tr w:rsidR="009252FF" w:rsidRPr="00327310" w14:paraId="674DD9C6" w14:textId="77777777" w:rsidTr="00764C61">
        <w:trPr>
          <w:trHeight w:val="47"/>
        </w:trPr>
        <w:tc>
          <w:tcPr>
            <w:tcW w:w="1278"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14:paraId="1DF3606C" w14:textId="77777777" w:rsidR="009252FF" w:rsidRPr="00327310" w:rsidRDefault="009252FF" w:rsidP="00764C61">
            <w:pPr>
              <w:pStyle w:val="ListParagraph"/>
              <w:spacing w:after="0" w:line="240" w:lineRule="auto"/>
              <w:ind w:left="0"/>
              <w:rPr>
                <w:rFonts w:ascii="Garamond" w:hAnsi="Garamond"/>
                <w:b/>
                <w:bCs/>
                <w:sz w:val="20"/>
                <w:szCs w:val="24"/>
                <w:lang w:val="sq-AL"/>
              </w:rPr>
            </w:pPr>
            <w:r w:rsidRPr="00327310">
              <w:rPr>
                <w:rFonts w:ascii="Garamond" w:hAnsi="Garamond"/>
                <w:b/>
                <w:bCs/>
                <w:sz w:val="20"/>
                <w:szCs w:val="24"/>
                <w:lang w:val="sq-AL"/>
              </w:rPr>
              <w:t>Veprimtari</w:t>
            </w:r>
          </w:p>
        </w:tc>
        <w:tc>
          <w:tcPr>
            <w:tcW w:w="1439"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14:paraId="1CC6BE71" w14:textId="77777777" w:rsidR="009252FF" w:rsidRPr="00327310" w:rsidRDefault="009252FF" w:rsidP="00764C61">
            <w:pPr>
              <w:pStyle w:val="ListParagraph"/>
              <w:spacing w:after="0" w:line="240" w:lineRule="auto"/>
              <w:ind w:left="0"/>
              <w:rPr>
                <w:rFonts w:ascii="Garamond" w:hAnsi="Garamond"/>
                <w:b/>
                <w:bCs/>
                <w:sz w:val="20"/>
                <w:szCs w:val="24"/>
                <w:lang w:val="sq-AL"/>
              </w:rPr>
            </w:pPr>
            <w:r w:rsidRPr="00327310">
              <w:rPr>
                <w:rFonts w:ascii="Garamond" w:hAnsi="Garamond"/>
                <w:b/>
                <w:bCs/>
                <w:sz w:val="20"/>
                <w:szCs w:val="24"/>
                <w:lang w:val="sq-AL"/>
              </w:rPr>
              <w:t>Afate kohore</w:t>
            </w:r>
          </w:p>
        </w:tc>
        <w:tc>
          <w:tcPr>
            <w:tcW w:w="1711"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14:paraId="0F84B92A" w14:textId="77777777" w:rsidR="009252FF" w:rsidRPr="00327310" w:rsidRDefault="009252FF" w:rsidP="00764C61">
            <w:pPr>
              <w:pStyle w:val="ListParagraph"/>
              <w:spacing w:after="0" w:line="240" w:lineRule="auto"/>
              <w:ind w:left="0"/>
              <w:rPr>
                <w:rFonts w:ascii="Garamond" w:hAnsi="Garamond"/>
                <w:b/>
                <w:bCs/>
                <w:sz w:val="20"/>
                <w:szCs w:val="24"/>
                <w:lang w:val="sq-AL"/>
              </w:rPr>
            </w:pPr>
            <w:r w:rsidRPr="00327310">
              <w:rPr>
                <w:rFonts w:ascii="Garamond" w:hAnsi="Garamond"/>
                <w:b/>
                <w:bCs/>
                <w:sz w:val="20"/>
                <w:szCs w:val="24"/>
                <w:lang w:val="sq-AL"/>
              </w:rPr>
              <w:t>Personi/at përgjegjës</w:t>
            </w:r>
          </w:p>
        </w:tc>
        <w:tc>
          <w:tcPr>
            <w:tcW w:w="1710"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14:paraId="71C03800" w14:textId="77777777" w:rsidR="009252FF" w:rsidRPr="00327310" w:rsidRDefault="009252FF" w:rsidP="00764C61">
            <w:pPr>
              <w:pStyle w:val="ListParagraph"/>
              <w:spacing w:after="0" w:line="240" w:lineRule="auto"/>
              <w:ind w:left="0"/>
              <w:rPr>
                <w:rFonts w:ascii="Garamond" w:hAnsi="Garamond"/>
                <w:b/>
                <w:bCs/>
                <w:i/>
                <w:sz w:val="20"/>
                <w:szCs w:val="24"/>
                <w:lang w:val="sq-AL"/>
              </w:rPr>
            </w:pPr>
            <w:r w:rsidRPr="00327310">
              <w:rPr>
                <w:rFonts w:ascii="Garamond" w:hAnsi="Garamond"/>
                <w:b/>
                <w:bCs/>
                <w:sz w:val="20"/>
                <w:szCs w:val="24"/>
                <w:lang w:val="sq-AL"/>
              </w:rPr>
              <w:t>Metodologjia</w:t>
            </w:r>
          </w:p>
        </w:tc>
        <w:tc>
          <w:tcPr>
            <w:tcW w:w="1957"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14:paraId="76315D98" w14:textId="77777777" w:rsidR="009252FF" w:rsidRPr="00327310" w:rsidRDefault="009252FF" w:rsidP="00764C61">
            <w:pPr>
              <w:pStyle w:val="ListParagraph"/>
              <w:spacing w:after="0" w:line="240" w:lineRule="auto"/>
              <w:ind w:left="0"/>
              <w:rPr>
                <w:rFonts w:ascii="Garamond" w:hAnsi="Garamond"/>
                <w:b/>
                <w:bCs/>
                <w:iCs/>
                <w:sz w:val="20"/>
                <w:szCs w:val="24"/>
                <w:lang w:val="sq-AL"/>
              </w:rPr>
            </w:pPr>
            <w:r w:rsidRPr="00327310">
              <w:rPr>
                <w:rFonts w:ascii="Garamond" w:hAnsi="Garamond"/>
                <w:b/>
                <w:bCs/>
                <w:iCs/>
                <w:sz w:val="20"/>
                <w:szCs w:val="24"/>
                <w:lang w:val="sq-AL"/>
              </w:rPr>
              <w:t>Instrumenti matës</w:t>
            </w:r>
          </w:p>
        </w:tc>
        <w:tc>
          <w:tcPr>
            <w:tcW w:w="1710"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14:paraId="5EE08B53" w14:textId="77777777" w:rsidR="009252FF" w:rsidRPr="00327310" w:rsidRDefault="009252FF" w:rsidP="00764C61">
            <w:pPr>
              <w:pStyle w:val="ListParagraph"/>
              <w:spacing w:after="0" w:line="240" w:lineRule="auto"/>
              <w:ind w:left="0"/>
              <w:rPr>
                <w:rFonts w:ascii="Garamond" w:hAnsi="Garamond"/>
                <w:b/>
                <w:bCs/>
                <w:iCs/>
                <w:sz w:val="20"/>
                <w:szCs w:val="24"/>
                <w:lang w:val="sq-AL"/>
              </w:rPr>
            </w:pPr>
            <w:r w:rsidRPr="00327310">
              <w:rPr>
                <w:rFonts w:ascii="Garamond" w:hAnsi="Garamond"/>
                <w:b/>
                <w:bCs/>
                <w:iCs/>
                <w:sz w:val="20"/>
                <w:szCs w:val="24"/>
                <w:lang w:val="sq-AL"/>
              </w:rPr>
              <w:t>Vendndodhja</w:t>
            </w:r>
          </w:p>
        </w:tc>
      </w:tr>
      <w:tr w:rsidR="009252FF" w:rsidRPr="00327310" w14:paraId="2F151AC2" w14:textId="77777777" w:rsidTr="00764C61">
        <w:trPr>
          <w:trHeight w:val="161"/>
        </w:trPr>
        <w:tc>
          <w:tcPr>
            <w:tcW w:w="1278" w:type="dxa"/>
            <w:tcBorders>
              <w:top w:val="single" w:sz="4" w:space="0" w:color="000000"/>
              <w:left w:val="single" w:sz="4" w:space="0" w:color="000000"/>
              <w:bottom w:val="single" w:sz="4" w:space="0" w:color="000000"/>
              <w:right w:val="single" w:sz="4" w:space="0" w:color="000000"/>
            </w:tcBorders>
            <w:vAlign w:val="center"/>
          </w:tcPr>
          <w:p w14:paraId="30A86CFA" w14:textId="77777777" w:rsidR="009252FF" w:rsidRPr="00327310" w:rsidRDefault="009252FF" w:rsidP="00764C61">
            <w:pPr>
              <w:pStyle w:val="ListParagraph"/>
              <w:spacing w:after="0" w:line="240" w:lineRule="auto"/>
              <w:ind w:left="0"/>
              <w:rPr>
                <w:rFonts w:ascii="Garamond" w:hAnsi="Garamond"/>
                <w:i/>
                <w:iCs/>
                <w:sz w:val="20"/>
                <w:szCs w:val="24"/>
                <w:lang w:val="sq-AL"/>
              </w:rPr>
            </w:pPr>
            <w:r w:rsidRPr="00327310">
              <w:rPr>
                <w:rFonts w:ascii="Garamond" w:hAnsi="Garamond"/>
                <w:i/>
                <w:iCs/>
                <w:sz w:val="20"/>
                <w:szCs w:val="24"/>
                <w:lang w:val="sq-AL"/>
              </w:rPr>
              <w:t>Hapat/veprimet që do të kryhen për realizimin e objektivit</w:t>
            </w:r>
          </w:p>
        </w:tc>
        <w:tc>
          <w:tcPr>
            <w:tcW w:w="1439" w:type="dxa"/>
            <w:tcBorders>
              <w:top w:val="single" w:sz="4" w:space="0" w:color="000000"/>
              <w:left w:val="single" w:sz="4" w:space="0" w:color="000000"/>
              <w:bottom w:val="single" w:sz="4" w:space="0" w:color="000000"/>
              <w:right w:val="single" w:sz="4" w:space="0" w:color="000000"/>
            </w:tcBorders>
            <w:vAlign w:val="center"/>
          </w:tcPr>
          <w:p w14:paraId="486989D0" w14:textId="77777777" w:rsidR="009252FF" w:rsidRPr="00327310" w:rsidRDefault="009252FF" w:rsidP="00764C61">
            <w:pPr>
              <w:pStyle w:val="ListParagraph"/>
              <w:spacing w:after="0" w:line="240" w:lineRule="auto"/>
              <w:ind w:left="0"/>
              <w:rPr>
                <w:rFonts w:ascii="Garamond" w:hAnsi="Garamond"/>
                <w:i/>
                <w:iCs/>
                <w:sz w:val="20"/>
                <w:szCs w:val="24"/>
                <w:lang w:val="sq-AL"/>
              </w:rPr>
            </w:pPr>
            <w:r w:rsidRPr="00327310">
              <w:rPr>
                <w:rFonts w:ascii="Garamond" w:hAnsi="Garamond"/>
                <w:i/>
                <w:iCs/>
                <w:sz w:val="20"/>
                <w:szCs w:val="24"/>
                <w:lang w:val="sq-AL"/>
              </w:rPr>
              <w:t>Periudha kohore e përcaktuar për realizimin e çdo veprimtarie</w:t>
            </w:r>
          </w:p>
        </w:tc>
        <w:tc>
          <w:tcPr>
            <w:tcW w:w="1711" w:type="dxa"/>
            <w:tcBorders>
              <w:top w:val="single" w:sz="4" w:space="0" w:color="000000"/>
              <w:left w:val="single" w:sz="4" w:space="0" w:color="000000"/>
              <w:bottom w:val="single" w:sz="4" w:space="0" w:color="000000"/>
              <w:right w:val="single" w:sz="4" w:space="0" w:color="000000"/>
            </w:tcBorders>
            <w:vAlign w:val="center"/>
          </w:tcPr>
          <w:p w14:paraId="13D8C5FC" w14:textId="77777777" w:rsidR="009252FF" w:rsidRPr="00327310" w:rsidRDefault="009252FF" w:rsidP="00764C61">
            <w:pPr>
              <w:pStyle w:val="ListParagraph"/>
              <w:spacing w:after="0" w:line="240" w:lineRule="auto"/>
              <w:ind w:left="0"/>
              <w:rPr>
                <w:rFonts w:ascii="Garamond" w:hAnsi="Garamond"/>
                <w:i/>
                <w:iCs/>
                <w:sz w:val="20"/>
                <w:szCs w:val="24"/>
                <w:lang w:val="sq-AL"/>
              </w:rPr>
            </w:pPr>
            <w:r w:rsidRPr="00327310">
              <w:rPr>
                <w:rFonts w:ascii="Garamond" w:hAnsi="Garamond"/>
                <w:i/>
                <w:iCs/>
                <w:sz w:val="20"/>
                <w:szCs w:val="24"/>
                <w:lang w:val="sq-AL"/>
              </w:rPr>
              <w:t>Specifikoni personat që do të organizojnë veprimtarinë përkatëse</w:t>
            </w:r>
          </w:p>
        </w:tc>
        <w:tc>
          <w:tcPr>
            <w:tcW w:w="1710" w:type="dxa"/>
            <w:tcBorders>
              <w:top w:val="single" w:sz="4" w:space="0" w:color="000000"/>
              <w:left w:val="single" w:sz="4" w:space="0" w:color="000000"/>
              <w:bottom w:val="single" w:sz="4" w:space="0" w:color="000000"/>
              <w:right w:val="single" w:sz="4" w:space="0" w:color="000000"/>
            </w:tcBorders>
            <w:vAlign w:val="center"/>
          </w:tcPr>
          <w:p w14:paraId="7E300AB7" w14:textId="77777777" w:rsidR="009252FF" w:rsidRPr="00327310" w:rsidRDefault="009252FF" w:rsidP="00764C61">
            <w:pPr>
              <w:pStyle w:val="ListParagraph"/>
              <w:spacing w:after="0" w:line="240" w:lineRule="auto"/>
              <w:ind w:left="0"/>
              <w:rPr>
                <w:rFonts w:ascii="Garamond" w:hAnsi="Garamond"/>
                <w:i/>
                <w:iCs/>
                <w:sz w:val="20"/>
                <w:szCs w:val="24"/>
                <w:lang w:val="sq-AL"/>
              </w:rPr>
            </w:pPr>
            <w:r w:rsidRPr="00327310">
              <w:rPr>
                <w:rFonts w:ascii="Garamond" w:hAnsi="Garamond"/>
                <w:i/>
                <w:iCs/>
                <w:sz w:val="20"/>
                <w:szCs w:val="24"/>
                <w:lang w:val="sq-AL"/>
              </w:rPr>
              <w:t>Metodat/mënyrat që do të ndiqen për të realizuar veprimtarinë</w:t>
            </w:r>
          </w:p>
        </w:tc>
        <w:tc>
          <w:tcPr>
            <w:tcW w:w="1957" w:type="dxa"/>
            <w:tcBorders>
              <w:top w:val="single" w:sz="4" w:space="0" w:color="000000"/>
              <w:left w:val="single" w:sz="4" w:space="0" w:color="000000"/>
              <w:bottom w:val="single" w:sz="4" w:space="0" w:color="000000"/>
              <w:right w:val="single" w:sz="4" w:space="0" w:color="000000"/>
            </w:tcBorders>
            <w:vAlign w:val="center"/>
          </w:tcPr>
          <w:p w14:paraId="14181B33" w14:textId="77777777" w:rsidR="009252FF" w:rsidRPr="00327310" w:rsidRDefault="009252FF" w:rsidP="00764C61">
            <w:pPr>
              <w:pStyle w:val="ListParagraph"/>
              <w:spacing w:after="0" w:line="240" w:lineRule="auto"/>
              <w:ind w:left="0"/>
              <w:rPr>
                <w:rFonts w:ascii="Garamond" w:hAnsi="Garamond"/>
                <w:i/>
                <w:iCs/>
                <w:sz w:val="20"/>
                <w:szCs w:val="24"/>
                <w:lang w:val="sq-AL"/>
              </w:rPr>
            </w:pPr>
            <w:r w:rsidRPr="00327310">
              <w:rPr>
                <w:rFonts w:ascii="Garamond" w:hAnsi="Garamond"/>
                <w:i/>
                <w:iCs/>
                <w:sz w:val="20"/>
                <w:szCs w:val="24"/>
                <w:lang w:val="sq-AL"/>
              </w:rPr>
              <w:t>Mjeti që përdoret për të matur përmbushjen e veprimtarisë</w:t>
            </w:r>
          </w:p>
        </w:tc>
        <w:tc>
          <w:tcPr>
            <w:tcW w:w="1710" w:type="dxa"/>
            <w:tcBorders>
              <w:top w:val="single" w:sz="4" w:space="0" w:color="000000"/>
              <w:left w:val="single" w:sz="4" w:space="0" w:color="000000"/>
              <w:bottom w:val="single" w:sz="4" w:space="0" w:color="000000"/>
              <w:right w:val="single" w:sz="4" w:space="0" w:color="000000"/>
            </w:tcBorders>
            <w:vAlign w:val="center"/>
          </w:tcPr>
          <w:p w14:paraId="7BD82BCC" w14:textId="77777777" w:rsidR="009252FF" w:rsidRPr="00327310" w:rsidRDefault="009252FF" w:rsidP="00764C61">
            <w:pPr>
              <w:pStyle w:val="ListParagraph"/>
              <w:spacing w:after="0" w:line="240" w:lineRule="auto"/>
              <w:ind w:left="0"/>
              <w:rPr>
                <w:rFonts w:ascii="Garamond" w:hAnsi="Garamond"/>
                <w:i/>
                <w:iCs/>
                <w:sz w:val="20"/>
                <w:szCs w:val="24"/>
                <w:lang w:val="sq-AL"/>
              </w:rPr>
            </w:pPr>
            <w:r w:rsidRPr="00327310">
              <w:rPr>
                <w:rFonts w:ascii="Garamond" w:hAnsi="Garamond"/>
                <w:i/>
                <w:iCs/>
                <w:sz w:val="20"/>
                <w:szCs w:val="24"/>
                <w:lang w:val="sq-AL"/>
              </w:rPr>
              <w:t>Vendi/mjedisi ku do të kryhet veprimtaria</w:t>
            </w:r>
          </w:p>
        </w:tc>
      </w:tr>
    </w:tbl>
    <w:p w14:paraId="7FA1C147" w14:textId="53135780" w:rsidR="004E44AF" w:rsidRDefault="009252FF" w:rsidP="009252FF">
      <w:pPr>
        <w:pStyle w:val="ListParagraph"/>
        <w:spacing w:after="0" w:line="240" w:lineRule="auto"/>
        <w:ind w:left="0"/>
      </w:pPr>
      <w:r w:rsidRPr="00327310">
        <w:rPr>
          <w:rFonts w:ascii="Garamond" w:hAnsi="Garamond"/>
          <w:b/>
          <w:bCs/>
          <w:sz w:val="24"/>
          <w:szCs w:val="24"/>
          <w:lang w:val="sq-AL"/>
        </w:rPr>
        <w:t xml:space="preserve">Vijueshmëri/qëndrueshmëri: </w:t>
      </w:r>
      <w:r w:rsidRPr="00327310">
        <w:rPr>
          <w:rFonts w:ascii="Garamond" w:hAnsi="Garamond"/>
          <w:i/>
          <w:iCs/>
          <w:sz w:val="24"/>
          <w:szCs w:val="24"/>
          <w:lang w:val="sq-AL"/>
        </w:rPr>
        <w:t>sugjerime për të siguruar vijueshmërinë në kohë, të përmbushjes së rekomandimit për të arritur/ruajtur cilësinë.</w:t>
      </w:r>
    </w:p>
    <w:sectPr w:rsidR="004E44AF" w:rsidSect="009252FF">
      <w:footerReference w:type="even" r:id="rId9"/>
      <w:footerReference w:type="default" r:id="rId10"/>
      <w:pgSz w:w="11906" w:h="16838"/>
      <w:pgMar w:top="1440" w:right="1440" w:bottom="98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6173C" w14:textId="77777777" w:rsidR="005C609A" w:rsidRDefault="005C609A" w:rsidP="009252FF">
      <w:pPr>
        <w:spacing w:after="0" w:line="240" w:lineRule="auto"/>
      </w:pPr>
      <w:r>
        <w:separator/>
      </w:r>
    </w:p>
  </w:endnote>
  <w:endnote w:type="continuationSeparator" w:id="0">
    <w:p w14:paraId="04789B9A" w14:textId="77777777" w:rsidR="005C609A" w:rsidRDefault="005C609A" w:rsidP="0092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8203421"/>
      <w:docPartObj>
        <w:docPartGallery w:val="Page Numbers (Bottom of Page)"/>
        <w:docPartUnique/>
      </w:docPartObj>
    </w:sdtPr>
    <w:sdtContent>
      <w:p w14:paraId="61FBF802" w14:textId="5F3055B5" w:rsidR="00354810" w:rsidRDefault="00354810" w:rsidP="00651A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471BA3" w14:textId="77777777" w:rsidR="00354810" w:rsidRDefault="00354810" w:rsidP="003548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6758589"/>
      <w:docPartObj>
        <w:docPartGallery w:val="Page Numbers (Bottom of Page)"/>
        <w:docPartUnique/>
      </w:docPartObj>
    </w:sdtPr>
    <w:sdtContent>
      <w:p w14:paraId="691EC80A" w14:textId="7A9F822B" w:rsidR="00354810" w:rsidRDefault="00354810" w:rsidP="00651A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3F6552" w14:textId="77777777" w:rsidR="00354810" w:rsidRDefault="00354810" w:rsidP="003548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FD0FE" w14:textId="77777777" w:rsidR="005C609A" w:rsidRDefault="005C609A" w:rsidP="009252FF">
      <w:pPr>
        <w:spacing w:after="0" w:line="240" w:lineRule="auto"/>
      </w:pPr>
      <w:r>
        <w:separator/>
      </w:r>
    </w:p>
  </w:footnote>
  <w:footnote w:type="continuationSeparator" w:id="0">
    <w:p w14:paraId="4A1E1CE9" w14:textId="77777777" w:rsidR="005C609A" w:rsidRDefault="005C609A" w:rsidP="009252FF">
      <w:pPr>
        <w:spacing w:after="0" w:line="240" w:lineRule="auto"/>
      </w:pPr>
      <w:r>
        <w:continuationSeparator/>
      </w:r>
    </w:p>
  </w:footnote>
  <w:footnote w:id="1">
    <w:p w14:paraId="31AF7070" w14:textId="77777777" w:rsidR="009252FF" w:rsidRPr="000F2FC0" w:rsidRDefault="009252FF" w:rsidP="009252FF">
      <w:pPr>
        <w:autoSpaceDE w:val="0"/>
        <w:autoSpaceDN w:val="0"/>
        <w:adjustRightInd w:val="0"/>
        <w:spacing w:after="0" w:line="240" w:lineRule="auto"/>
        <w:jc w:val="both"/>
        <w:rPr>
          <w:rFonts w:ascii="Garamond" w:hAnsi="Garamond" w:cs="Times New Roman"/>
          <w:color w:val="000000"/>
          <w:sz w:val="20"/>
          <w:szCs w:val="20"/>
          <w:lang w:val="sq-AL"/>
        </w:rPr>
      </w:pPr>
      <w:r w:rsidRPr="000F2FC0">
        <w:rPr>
          <w:rStyle w:val="FootnoteReference"/>
          <w:rFonts w:ascii="Garamond" w:hAnsi="Garamond"/>
          <w:sz w:val="20"/>
          <w:szCs w:val="20"/>
          <w:lang w:val="sq-AL"/>
        </w:rPr>
        <w:footnoteRef/>
      </w:r>
      <w:r>
        <w:rPr>
          <w:rFonts w:ascii="Garamond" w:hAnsi="Garamond" w:cs="Times New Roman"/>
          <w:color w:val="000000"/>
          <w:sz w:val="20"/>
          <w:szCs w:val="20"/>
          <w:lang w:val="sq-AL"/>
        </w:rPr>
        <w:t xml:space="preserve"> </w:t>
      </w:r>
      <w:r w:rsidRPr="000F2FC0">
        <w:rPr>
          <w:rFonts w:ascii="Garamond" w:hAnsi="Garamond" w:cs="Times New Roman"/>
          <w:color w:val="000000"/>
          <w:sz w:val="20"/>
          <w:szCs w:val="20"/>
          <w:lang w:val="sq-AL"/>
        </w:rPr>
        <w:t>Për ofruesit e rinj, të cilët paraqesin kërkesën për akreditim, seksioni “vetëvlerësimi</w:t>
      </w:r>
      <w:r>
        <w:rPr>
          <w:rFonts w:ascii="Garamond" w:hAnsi="Garamond" w:cs="Times New Roman"/>
          <w:color w:val="000000"/>
          <w:sz w:val="20"/>
          <w:szCs w:val="20"/>
          <w:lang w:val="sq-AL"/>
        </w:rPr>
        <w:t xml:space="preserve"> i institucionit” i raportit të </w:t>
      </w:r>
      <w:r w:rsidRPr="000F2FC0">
        <w:rPr>
          <w:rFonts w:ascii="Garamond" w:hAnsi="Garamond" w:cs="Times New Roman"/>
          <w:color w:val="000000"/>
          <w:sz w:val="20"/>
          <w:szCs w:val="20"/>
          <w:lang w:val="sq-AL"/>
        </w:rPr>
        <w:t>vetëvlerësimit do të jetë i reduktuar.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FF"/>
    <w:rsid w:val="00354810"/>
    <w:rsid w:val="004E44AF"/>
    <w:rsid w:val="005C609A"/>
    <w:rsid w:val="005E73A6"/>
    <w:rsid w:val="0079225B"/>
    <w:rsid w:val="009252FF"/>
  </w:rsids>
  <m:mathPr>
    <m:mathFont m:val="Cambria Math"/>
    <m:brkBin m:val="before"/>
    <m:brkBinSub m:val="--"/>
    <m:smallFrac m:val="0"/>
    <m:dispDef/>
    <m:lMargin m:val="0"/>
    <m:rMargin m:val="0"/>
    <m:defJc m:val="centerGroup"/>
    <m:wrapIndent m:val="1440"/>
    <m:intLim m:val="subSup"/>
    <m:naryLim m:val="undOvr"/>
  </m:mathPr>
  <w:themeFontLang w:val="en-AL"/>
  <w:clrSchemeMapping w:bg1="light1" w:t1="dark1" w:bg2="light2" w:t2="dark2" w:accent1="accent1" w:accent2="accent2" w:accent3="accent3" w:accent4="accent4" w:accent5="accent5" w:accent6="accent6" w:hyperlink="hyperlink" w:followedHyperlink="followedHyperlink"/>
  <w:decimalSymbol w:val=","/>
  <w:listSeparator w:val=","/>
  <w14:docId w14:val="12DDE664"/>
  <w15:chartTrackingRefBased/>
  <w15:docId w15:val="{974F37EF-64B9-C547-9728-F9AB4125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FF"/>
    <w:pPr>
      <w:spacing w:after="160" w:line="259" w:lineRule="auto"/>
    </w:pPr>
    <w:rPr>
      <w:rFonts w:eastAsia="MS Mincho"/>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9252FF"/>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9252FF"/>
    <w:rPr>
      <w:rFonts w:eastAsia="MS Mincho"/>
      <w:kern w:val="0"/>
      <w:sz w:val="22"/>
      <w:szCs w:val="22"/>
      <w:lang w:val="en-US"/>
      <w14:ligatures w14:val="none"/>
    </w:rPr>
  </w:style>
  <w:style w:type="character" w:styleId="FootnoteReference">
    <w:name w:val="footnote reference"/>
    <w:aliases w:val="16 Point,Superscript 6 Point"/>
    <w:basedOn w:val="DefaultParagraphFont"/>
    <w:link w:val="BVIfnrCarCarCarCarChar"/>
    <w:uiPriority w:val="99"/>
    <w:semiHidden/>
    <w:unhideWhenUsed/>
    <w:rsid w:val="009252FF"/>
    <w:rPr>
      <w:vertAlign w:val="superscript"/>
    </w:rPr>
  </w:style>
  <w:style w:type="paragraph" w:customStyle="1" w:styleId="BVIfnrCarCarCarCarChar">
    <w:name w:val="BVI fnr Car Car Car Car Char"/>
    <w:basedOn w:val="Normal"/>
    <w:link w:val="FootnoteReference"/>
    <w:uiPriority w:val="99"/>
    <w:semiHidden/>
    <w:rsid w:val="009252FF"/>
    <w:pPr>
      <w:spacing w:line="240" w:lineRule="exact"/>
    </w:pPr>
    <w:rPr>
      <w:rFonts w:eastAsiaTheme="minorHAnsi"/>
      <w:kern w:val="2"/>
      <w:sz w:val="24"/>
      <w:szCs w:val="24"/>
      <w:vertAlign w:val="superscript"/>
      <w:lang w:val="en-AL"/>
      <w14:ligatures w14:val="standardContextual"/>
    </w:rPr>
  </w:style>
  <w:style w:type="paragraph" w:styleId="Footer">
    <w:name w:val="footer"/>
    <w:basedOn w:val="Normal"/>
    <w:link w:val="FooterChar"/>
    <w:uiPriority w:val="99"/>
    <w:unhideWhenUsed/>
    <w:rsid w:val="00354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810"/>
    <w:rPr>
      <w:rFonts w:eastAsia="MS Mincho"/>
      <w:kern w:val="0"/>
      <w:sz w:val="22"/>
      <w:szCs w:val="22"/>
      <w:lang w:val="en-US"/>
      <w14:ligatures w14:val="none"/>
    </w:rPr>
  </w:style>
  <w:style w:type="character" w:styleId="PageNumber">
    <w:name w:val="page number"/>
    <w:basedOn w:val="DefaultParagraphFont"/>
    <w:uiPriority w:val="99"/>
    <w:semiHidden/>
    <w:unhideWhenUsed/>
    <w:rsid w:val="00354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999</Words>
  <Characters>5495</Characters>
  <Application>Microsoft Office Word</Application>
  <DocSecurity>0</DocSecurity>
  <Lines>88</Lines>
  <Paragraphs>33</Paragraphs>
  <ScaleCrop>false</ScaleCrop>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Sonila Limaj</dc:creator>
  <cp:keywords/>
  <dc:description/>
  <cp:lastModifiedBy>Sonila Limaj</cp:lastModifiedBy>
  <cp:revision>2</cp:revision>
  <dcterms:created xsi:type="dcterms:W3CDTF">2026-04-15T08:05:00Z</dcterms:created>
  <dcterms:modified xsi:type="dcterms:W3CDTF">2026-04-15T08:14:00Z</dcterms:modified>
</cp:coreProperties>
</file>